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00" w:type="dxa"/>
        <w:tblInd w:w="90" w:type="dxa"/>
        <w:tblBorders>
          <w:top w:val="single" w:sz="6" w:space="0" w:color="A6A6A6" w:themeColor="background1" w:themeShade="A6"/>
          <w:bottom w:val="single" w:sz="6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ayout w:type="fixed"/>
        <w:tblLook w:val="0000" w:firstRow="0" w:lastRow="0" w:firstColumn="0" w:lastColumn="0" w:noHBand="0" w:noVBand="0"/>
      </w:tblPr>
      <w:tblGrid>
        <w:gridCol w:w="2462"/>
        <w:gridCol w:w="7938"/>
      </w:tblGrid>
      <w:tr w:rsidR="00FF6C17" w:rsidRPr="008C043A" w14:paraId="23193D7C" w14:textId="77777777" w:rsidTr="007E76B9">
        <w:trPr>
          <w:trHeight w:val="397"/>
        </w:trPr>
        <w:tc>
          <w:tcPr>
            <w:tcW w:w="10400" w:type="dxa"/>
            <w:gridSpan w:val="2"/>
            <w:shd w:val="clear" w:color="auto" w:fill="E2E0DF"/>
            <w:vAlign w:val="center"/>
          </w:tcPr>
          <w:p w14:paraId="4D828446" w14:textId="018290A8" w:rsidR="00FF6C17" w:rsidRPr="008035CE" w:rsidRDefault="00CD1045" w:rsidP="00B6277C">
            <w:pPr>
              <w:pStyle w:val="Subtitle"/>
              <w:rPr>
                <w:b w:val="0"/>
                <w:sz w:val="21"/>
                <w:szCs w:val="21"/>
              </w:rPr>
            </w:pPr>
            <w:r w:rsidRPr="008035CE">
              <w:rPr>
                <w:rFonts w:eastAsiaTheme="majorEastAsia" w:cstheme="majorBidi"/>
                <w:b w:val="0"/>
                <w:noProof/>
                <w:spacing w:val="-10"/>
                <w:kern w:val="28"/>
                <w:sz w:val="21"/>
                <w:szCs w:val="21"/>
                <w:lang w:eastAsia="en-AU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3CD3B192" wp14:editId="72040355">
                      <wp:simplePos x="0" y="0"/>
                      <wp:positionH relativeFrom="column">
                        <wp:posOffset>2232085</wp:posOffset>
                      </wp:positionH>
                      <wp:positionV relativeFrom="paragraph">
                        <wp:posOffset>-696595</wp:posOffset>
                      </wp:positionV>
                      <wp:extent cx="2360930" cy="1404620"/>
                      <wp:effectExtent l="0" t="0" r="0" b="762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B879A7E" w14:textId="77777777" w:rsidR="00CD1045" w:rsidRDefault="00CD1045">
                                  <w:r w:rsidRPr="00D41BDC"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t>Position Description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3CD3B19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75.75pt;margin-top:-54.8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" stroked="f">
                      <v:textbox style="mso-fit-shape-to-text:t">
                        <w:txbxContent>
                          <w:p w14:paraId="0B879A7E" w14:textId="77777777" w:rsidR="00CD1045" w:rsidRDefault="00CD1045">
                            <w:r w:rsidRPr="00D41BDC">
                              <w:rPr>
                                <w:b/>
                                <w:sz w:val="40"/>
                                <w:szCs w:val="40"/>
                              </w:rPr>
                              <w:t>Position Description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F6C17" w:rsidRPr="008035CE">
              <w:rPr>
                <w:sz w:val="21"/>
                <w:szCs w:val="21"/>
              </w:rPr>
              <w:t>Position Details</w:t>
            </w:r>
          </w:p>
        </w:tc>
      </w:tr>
      <w:tr w:rsidR="00FF6C17" w14:paraId="2F7EF6A4" w14:textId="77777777" w:rsidTr="007E76B9">
        <w:trPr>
          <w:trHeight w:val="397"/>
        </w:trPr>
        <w:tc>
          <w:tcPr>
            <w:tcW w:w="2462" w:type="dxa"/>
            <w:vAlign w:val="center"/>
          </w:tcPr>
          <w:p w14:paraId="1A587F89" w14:textId="77777777" w:rsidR="00FF6C17" w:rsidRPr="008035CE" w:rsidRDefault="00FF6C17" w:rsidP="00B6277C">
            <w:pPr>
              <w:pStyle w:val="Subtitle"/>
              <w:rPr>
                <w:sz w:val="21"/>
                <w:szCs w:val="21"/>
              </w:rPr>
            </w:pPr>
            <w:r w:rsidRPr="008035CE">
              <w:rPr>
                <w:sz w:val="21"/>
                <w:szCs w:val="21"/>
              </w:rPr>
              <w:t>Title:</w:t>
            </w:r>
          </w:p>
        </w:tc>
        <w:tc>
          <w:tcPr>
            <w:tcW w:w="7938" w:type="dxa"/>
            <w:vAlign w:val="center"/>
          </w:tcPr>
          <w:p w14:paraId="50217B2B" w14:textId="736FFA43" w:rsidR="00FF6C17" w:rsidRPr="00FC6FEA" w:rsidRDefault="002B5C2A" w:rsidP="00EC668D">
            <w:pPr>
              <w:rPr>
                <w:b/>
                <w:sz w:val="21"/>
                <w:szCs w:val="21"/>
              </w:rPr>
            </w:pPr>
            <w:r w:rsidRPr="009C5EC7">
              <w:rPr>
                <w:b/>
                <w:sz w:val="24"/>
                <w:szCs w:val="21"/>
              </w:rPr>
              <w:t>Family Relationship Counsellor</w:t>
            </w:r>
          </w:p>
        </w:tc>
      </w:tr>
      <w:tr w:rsidR="00FF6C17" w14:paraId="46625590" w14:textId="77777777" w:rsidTr="007E76B9">
        <w:trPr>
          <w:trHeight w:val="397"/>
        </w:trPr>
        <w:tc>
          <w:tcPr>
            <w:tcW w:w="2462" w:type="dxa"/>
            <w:vAlign w:val="center"/>
          </w:tcPr>
          <w:p w14:paraId="34C8B923" w14:textId="21CC8EE8" w:rsidR="00FF6C17" w:rsidRPr="008035CE" w:rsidRDefault="00CD1045" w:rsidP="00B6277C">
            <w:pPr>
              <w:pStyle w:val="Subtitle"/>
              <w:rPr>
                <w:sz w:val="21"/>
                <w:szCs w:val="21"/>
              </w:rPr>
            </w:pPr>
            <w:r w:rsidRPr="008035CE">
              <w:rPr>
                <w:sz w:val="21"/>
                <w:szCs w:val="21"/>
              </w:rPr>
              <w:t>Grade</w:t>
            </w:r>
            <w:r w:rsidR="00FF6C17" w:rsidRPr="008035CE">
              <w:rPr>
                <w:sz w:val="21"/>
                <w:szCs w:val="21"/>
              </w:rPr>
              <w:t>:</w:t>
            </w:r>
          </w:p>
        </w:tc>
        <w:tc>
          <w:tcPr>
            <w:tcW w:w="7938" w:type="dxa"/>
            <w:vAlign w:val="center"/>
          </w:tcPr>
          <w:p w14:paraId="1373391A" w14:textId="3F932938" w:rsidR="00FF6C17" w:rsidRPr="008035CE" w:rsidRDefault="00CD1045" w:rsidP="00EC668D">
            <w:pPr>
              <w:rPr>
                <w:sz w:val="21"/>
                <w:szCs w:val="21"/>
              </w:rPr>
            </w:pPr>
            <w:r w:rsidRPr="008035CE">
              <w:rPr>
                <w:sz w:val="21"/>
                <w:szCs w:val="21"/>
              </w:rPr>
              <w:t xml:space="preserve">Level </w:t>
            </w:r>
            <w:r w:rsidR="009C2412" w:rsidRPr="008035CE">
              <w:rPr>
                <w:sz w:val="21"/>
                <w:szCs w:val="21"/>
              </w:rPr>
              <w:t>5</w:t>
            </w:r>
            <w:r w:rsidRPr="008035CE">
              <w:rPr>
                <w:sz w:val="21"/>
                <w:szCs w:val="21"/>
              </w:rPr>
              <w:t>, SCHADS Award</w:t>
            </w:r>
          </w:p>
        </w:tc>
      </w:tr>
      <w:tr w:rsidR="00FF6C17" w14:paraId="1B85B003" w14:textId="77777777" w:rsidTr="007E76B9">
        <w:trPr>
          <w:trHeight w:val="397"/>
        </w:trPr>
        <w:tc>
          <w:tcPr>
            <w:tcW w:w="2462" w:type="dxa"/>
            <w:vAlign w:val="center"/>
          </w:tcPr>
          <w:p w14:paraId="45795B37" w14:textId="0BA11DC1" w:rsidR="00FF6C17" w:rsidRPr="008035CE" w:rsidRDefault="008E5052" w:rsidP="00AB1EB8">
            <w:pPr>
              <w:pStyle w:val="Subtitle"/>
              <w:rPr>
                <w:sz w:val="21"/>
                <w:szCs w:val="21"/>
              </w:rPr>
            </w:pPr>
            <w:r w:rsidRPr="008035CE">
              <w:rPr>
                <w:sz w:val="21"/>
                <w:szCs w:val="21"/>
              </w:rPr>
              <w:t>Employment status</w:t>
            </w:r>
            <w:r w:rsidR="00FF6C17" w:rsidRPr="008035CE">
              <w:rPr>
                <w:sz w:val="21"/>
                <w:szCs w:val="21"/>
              </w:rPr>
              <w:t>:</w:t>
            </w:r>
          </w:p>
        </w:tc>
        <w:tc>
          <w:tcPr>
            <w:tcW w:w="7938" w:type="dxa"/>
            <w:vAlign w:val="center"/>
          </w:tcPr>
          <w:p w14:paraId="1CE515E5" w14:textId="00E71631" w:rsidR="00FF6C17" w:rsidRPr="00446558" w:rsidRDefault="00546372" w:rsidP="00AB1EB8">
            <w:pPr>
              <w:spacing w:before="60" w:after="60"/>
              <w:rPr>
                <w:rFonts w:cs="Arial"/>
                <w:sz w:val="21"/>
                <w:szCs w:val="21"/>
                <w:highlight w:val="yellow"/>
              </w:rPr>
            </w:pPr>
            <w:r>
              <w:rPr>
                <w:rFonts w:cs="Arial"/>
                <w:sz w:val="21"/>
                <w:szCs w:val="21"/>
              </w:rPr>
              <w:t>Part Time (0.</w:t>
            </w:r>
            <w:r w:rsidR="00047320">
              <w:rPr>
                <w:rFonts w:cs="Arial"/>
                <w:sz w:val="21"/>
                <w:szCs w:val="21"/>
              </w:rPr>
              <w:t>6</w:t>
            </w:r>
            <w:r>
              <w:rPr>
                <w:rFonts w:cs="Arial"/>
                <w:sz w:val="21"/>
                <w:szCs w:val="21"/>
              </w:rPr>
              <w:t xml:space="preserve"> EFT)</w:t>
            </w:r>
          </w:p>
        </w:tc>
      </w:tr>
      <w:tr w:rsidR="00FF6C17" w14:paraId="204B4C00" w14:textId="77777777" w:rsidTr="007E76B9">
        <w:trPr>
          <w:trHeight w:val="397"/>
        </w:trPr>
        <w:tc>
          <w:tcPr>
            <w:tcW w:w="2462" w:type="dxa"/>
            <w:vAlign w:val="center"/>
          </w:tcPr>
          <w:p w14:paraId="72BE10F1" w14:textId="77EA8BD6" w:rsidR="00FF6C17" w:rsidRPr="008035CE" w:rsidRDefault="008E5052" w:rsidP="00B6277C">
            <w:pPr>
              <w:pStyle w:val="Subtitle"/>
              <w:rPr>
                <w:sz w:val="21"/>
                <w:szCs w:val="21"/>
              </w:rPr>
            </w:pPr>
            <w:r w:rsidRPr="008035CE">
              <w:rPr>
                <w:sz w:val="21"/>
                <w:szCs w:val="21"/>
              </w:rPr>
              <w:t>Reports to</w:t>
            </w:r>
            <w:r w:rsidR="00FF6C17" w:rsidRPr="008035CE">
              <w:rPr>
                <w:sz w:val="21"/>
                <w:szCs w:val="21"/>
              </w:rPr>
              <w:t>:</w:t>
            </w:r>
          </w:p>
        </w:tc>
        <w:tc>
          <w:tcPr>
            <w:tcW w:w="7938" w:type="dxa"/>
            <w:vAlign w:val="center"/>
          </w:tcPr>
          <w:p w14:paraId="009CF40D" w14:textId="32EAA590" w:rsidR="00FF6C17" w:rsidRPr="008035CE" w:rsidRDefault="007E7822" w:rsidP="00546372">
            <w:pPr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 xml:space="preserve">Tanya De Mel - </w:t>
            </w:r>
            <w:r w:rsidR="00840C45" w:rsidRPr="008035CE">
              <w:rPr>
                <w:rFonts w:cs="Arial"/>
                <w:sz w:val="21"/>
                <w:szCs w:val="21"/>
              </w:rPr>
              <w:t>Regional Manager</w:t>
            </w:r>
            <w:r w:rsidR="008E5052" w:rsidRPr="008035CE">
              <w:rPr>
                <w:rFonts w:cs="Arial"/>
                <w:sz w:val="21"/>
                <w:szCs w:val="21"/>
              </w:rPr>
              <w:t xml:space="preserve">, </w:t>
            </w:r>
            <w:proofErr w:type="gramStart"/>
            <w:r w:rsidR="00546372">
              <w:rPr>
                <w:rFonts w:cs="Arial"/>
                <w:sz w:val="21"/>
                <w:szCs w:val="21"/>
              </w:rPr>
              <w:t>South East</w:t>
            </w:r>
            <w:proofErr w:type="gramEnd"/>
          </w:p>
        </w:tc>
      </w:tr>
      <w:tr w:rsidR="00FF6C17" w14:paraId="2687479D" w14:textId="77777777" w:rsidTr="007E76B9">
        <w:trPr>
          <w:trHeight w:val="397"/>
        </w:trPr>
        <w:tc>
          <w:tcPr>
            <w:tcW w:w="2462" w:type="dxa"/>
            <w:vAlign w:val="center"/>
          </w:tcPr>
          <w:p w14:paraId="03AF551A" w14:textId="77777777" w:rsidR="00FF6C17" w:rsidRPr="008035CE" w:rsidRDefault="00FF6C17" w:rsidP="00B6277C">
            <w:pPr>
              <w:pStyle w:val="Subtitle"/>
              <w:rPr>
                <w:sz w:val="21"/>
                <w:szCs w:val="21"/>
              </w:rPr>
            </w:pPr>
            <w:r w:rsidRPr="008035CE">
              <w:rPr>
                <w:sz w:val="21"/>
                <w:szCs w:val="21"/>
              </w:rPr>
              <w:t>Principal Location:</w:t>
            </w:r>
          </w:p>
        </w:tc>
        <w:tc>
          <w:tcPr>
            <w:tcW w:w="7938" w:type="dxa"/>
            <w:vAlign w:val="center"/>
          </w:tcPr>
          <w:p w14:paraId="78606ECB" w14:textId="651ED6B0" w:rsidR="002B5C2A" w:rsidRPr="008035CE" w:rsidRDefault="00546372" w:rsidP="00AB1EB8">
            <w:pPr>
              <w:rPr>
                <w:sz w:val="21"/>
                <w:szCs w:val="21"/>
              </w:rPr>
            </w:pPr>
            <w:r w:rsidRPr="00546372">
              <w:rPr>
                <w:sz w:val="21"/>
                <w:szCs w:val="21"/>
              </w:rPr>
              <w:t>Frankston – Level 3, White Street Mall, Frankston VIC</w:t>
            </w:r>
          </w:p>
        </w:tc>
      </w:tr>
      <w:tr w:rsidR="00FF6C17" w14:paraId="6A7C1304" w14:textId="77777777" w:rsidTr="007E76B9">
        <w:trPr>
          <w:trHeight w:val="397"/>
        </w:trPr>
        <w:tc>
          <w:tcPr>
            <w:tcW w:w="2462" w:type="dxa"/>
            <w:vAlign w:val="center"/>
          </w:tcPr>
          <w:p w14:paraId="2ED31672" w14:textId="23C8CBED" w:rsidR="00FF6C17" w:rsidRPr="008035CE" w:rsidRDefault="00FF6C17" w:rsidP="00B6277C">
            <w:pPr>
              <w:pStyle w:val="Subtitle"/>
              <w:rPr>
                <w:sz w:val="21"/>
                <w:szCs w:val="21"/>
              </w:rPr>
            </w:pPr>
            <w:r w:rsidRPr="008035CE">
              <w:rPr>
                <w:sz w:val="21"/>
                <w:szCs w:val="21"/>
              </w:rPr>
              <w:t>Position Purpose:</w:t>
            </w:r>
            <w:r w:rsidRPr="008035CE">
              <w:rPr>
                <w:sz w:val="21"/>
                <w:szCs w:val="21"/>
              </w:rPr>
              <w:br/>
            </w:r>
          </w:p>
        </w:tc>
        <w:tc>
          <w:tcPr>
            <w:tcW w:w="7938" w:type="dxa"/>
            <w:vAlign w:val="center"/>
          </w:tcPr>
          <w:p w14:paraId="44A57EB1" w14:textId="2D438E04" w:rsidR="002B5C2A" w:rsidRDefault="002B5C2A" w:rsidP="00AB1EB8">
            <w:pPr>
              <w:spacing w:before="60" w:after="60"/>
              <w:ind w:right="255"/>
              <w:rPr>
                <w:rFonts w:cs="Arial"/>
                <w:sz w:val="21"/>
                <w:szCs w:val="21"/>
              </w:rPr>
            </w:pPr>
            <w:r w:rsidRPr="002B5C2A">
              <w:rPr>
                <w:rFonts w:cs="Arial"/>
                <w:sz w:val="21"/>
                <w:szCs w:val="21"/>
              </w:rPr>
              <w:t xml:space="preserve">To provide family counselling and </w:t>
            </w:r>
            <w:r w:rsidR="00546372">
              <w:rPr>
                <w:rFonts w:cs="Arial"/>
                <w:sz w:val="21"/>
                <w:szCs w:val="21"/>
              </w:rPr>
              <w:t xml:space="preserve">relationship learning </w:t>
            </w:r>
            <w:r w:rsidRPr="002B5C2A">
              <w:rPr>
                <w:rFonts w:cs="Arial"/>
                <w:sz w:val="21"/>
                <w:szCs w:val="21"/>
              </w:rPr>
              <w:t>services to clients under provisio</w:t>
            </w:r>
            <w:r>
              <w:rPr>
                <w:rFonts w:cs="Arial"/>
                <w:sz w:val="21"/>
                <w:szCs w:val="21"/>
              </w:rPr>
              <w:t>ns of the Family Law Act 1975.</w:t>
            </w:r>
          </w:p>
          <w:p w14:paraId="7310E708" w14:textId="28CD9C80" w:rsidR="002B5C2A" w:rsidRPr="008035CE" w:rsidRDefault="002B5C2A" w:rsidP="00AB1EB8">
            <w:pPr>
              <w:spacing w:before="60" w:after="60"/>
              <w:ind w:right="255"/>
              <w:rPr>
                <w:sz w:val="21"/>
                <w:szCs w:val="21"/>
              </w:rPr>
            </w:pPr>
            <w:r w:rsidRPr="002B5C2A">
              <w:rPr>
                <w:rFonts w:cs="Arial"/>
                <w:sz w:val="21"/>
                <w:szCs w:val="21"/>
              </w:rPr>
              <w:t xml:space="preserve">To provide Employee Assistance Program (EAP) </w:t>
            </w:r>
            <w:r w:rsidR="009C5EC7">
              <w:rPr>
                <w:rFonts w:cs="Arial"/>
                <w:sz w:val="21"/>
                <w:szCs w:val="21"/>
              </w:rPr>
              <w:t xml:space="preserve">sessions </w:t>
            </w:r>
            <w:r w:rsidRPr="002B5C2A">
              <w:rPr>
                <w:rFonts w:cs="Arial"/>
                <w:sz w:val="21"/>
                <w:szCs w:val="21"/>
              </w:rPr>
              <w:t xml:space="preserve">and </w:t>
            </w:r>
            <w:r>
              <w:rPr>
                <w:rFonts w:cs="Arial"/>
                <w:sz w:val="21"/>
                <w:szCs w:val="21"/>
              </w:rPr>
              <w:t>C</w:t>
            </w:r>
            <w:r w:rsidRPr="002B5C2A">
              <w:rPr>
                <w:rFonts w:cs="Arial"/>
                <w:sz w:val="21"/>
                <w:szCs w:val="21"/>
              </w:rPr>
              <w:t>ritical</w:t>
            </w:r>
            <w:r>
              <w:rPr>
                <w:rFonts w:cs="Arial"/>
                <w:sz w:val="21"/>
                <w:szCs w:val="21"/>
              </w:rPr>
              <w:t xml:space="preserve"> I</w:t>
            </w:r>
            <w:r w:rsidRPr="002B5C2A">
              <w:rPr>
                <w:rFonts w:cs="Arial"/>
                <w:sz w:val="21"/>
                <w:szCs w:val="21"/>
              </w:rPr>
              <w:t>ncident responses to external organisations as directed</w:t>
            </w:r>
            <w:r>
              <w:t>.</w:t>
            </w:r>
          </w:p>
        </w:tc>
      </w:tr>
      <w:tr w:rsidR="008035CE" w:rsidRPr="00C9649E" w14:paraId="12AF12FE" w14:textId="77777777" w:rsidTr="007E76B9">
        <w:tblPrEx>
          <w:tblBorders>
            <w:insideV w:val="single" w:sz="6" w:space="0" w:color="auto"/>
          </w:tblBorders>
        </w:tblPrEx>
        <w:trPr>
          <w:trHeight w:val="397"/>
        </w:trPr>
        <w:tc>
          <w:tcPr>
            <w:tcW w:w="10400" w:type="dxa"/>
            <w:gridSpan w:val="2"/>
            <w:tcBorders>
              <w:bottom w:val="single" w:sz="6" w:space="0" w:color="A6A6A6" w:themeColor="background1" w:themeShade="A6"/>
            </w:tcBorders>
            <w:shd w:val="pct10" w:color="auto" w:fill="auto"/>
            <w:vAlign w:val="center"/>
          </w:tcPr>
          <w:p w14:paraId="00A69BAE" w14:textId="1BFA19DB" w:rsidR="008035CE" w:rsidRPr="008035CE" w:rsidRDefault="008035CE" w:rsidP="007E76B9">
            <w:pPr>
              <w:pStyle w:val="Subtitl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Organisation Overview</w:t>
            </w:r>
          </w:p>
        </w:tc>
      </w:tr>
      <w:tr w:rsidR="008035CE" w:rsidRPr="00C9649E" w14:paraId="643FA1EE" w14:textId="77777777" w:rsidTr="008035CE">
        <w:tblPrEx>
          <w:tblBorders>
            <w:insideV w:val="single" w:sz="6" w:space="0" w:color="auto"/>
          </w:tblBorders>
        </w:tblPrEx>
        <w:trPr>
          <w:trHeight w:val="397"/>
        </w:trPr>
        <w:tc>
          <w:tcPr>
            <w:tcW w:w="10400" w:type="dxa"/>
            <w:gridSpan w:val="2"/>
            <w:tcBorders>
              <w:bottom w:val="single" w:sz="6" w:space="0" w:color="A6A6A6" w:themeColor="background1" w:themeShade="A6"/>
            </w:tcBorders>
            <w:shd w:val="clear" w:color="auto" w:fill="auto"/>
            <w:vAlign w:val="center"/>
          </w:tcPr>
          <w:p w14:paraId="69FCEB73" w14:textId="4DDD1848" w:rsidR="002D5F68" w:rsidRPr="007E33C6" w:rsidRDefault="007E33C6" w:rsidP="007E33C6">
            <w:pPr>
              <w:pStyle w:val="Subtitle"/>
              <w:ind w:right="254"/>
              <w:rPr>
                <w:rFonts w:ascii="Arial" w:hAnsi="Arial" w:cs="Arial"/>
                <w:b w:val="0"/>
                <w:sz w:val="21"/>
                <w:szCs w:val="21"/>
              </w:rPr>
            </w:pPr>
            <w:r w:rsidRPr="007E33C6">
              <w:rPr>
                <w:rFonts w:ascii="Arial" w:hAnsi="Arial" w:cs="Arial"/>
                <w:b w:val="0"/>
                <w:sz w:val="21"/>
                <w:szCs w:val="21"/>
              </w:rPr>
              <w:t xml:space="preserve">Relationship Matters is a not-for-profit organisation that aims to promote healthy, </w:t>
            </w:r>
            <w:proofErr w:type="gramStart"/>
            <w:r w:rsidRPr="007E33C6">
              <w:rPr>
                <w:rFonts w:ascii="Arial" w:hAnsi="Arial" w:cs="Arial"/>
                <w:b w:val="0"/>
                <w:sz w:val="21"/>
                <w:szCs w:val="21"/>
              </w:rPr>
              <w:t>respectful</w:t>
            </w:r>
            <w:proofErr w:type="gramEnd"/>
            <w:r w:rsidRPr="007E33C6">
              <w:rPr>
                <w:rFonts w:ascii="Arial" w:hAnsi="Arial" w:cs="Arial"/>
                <w:b w:val="0"/>
                <w:sz w:val="21"/>
                <w:szCs w:val="21"/>
              </w:rPr>
              <w:t xml:space="preserve"> and fulfilling relationships within the Victorian community.</w:t>
            </w:r>
          </w:p>
          <w:p w14:paraId="57D1DEEF" w14:textId="77777777" w:rsidR="007E33C6" w:rsidRPr="007E33C6" w:rsidRDefault="007E33C6" w:rsidP="007E33C6">
            <w:pPr>
              <w:rPr>
                <w:sz w:val="21"/>
                <w:szCs w:val="21"/>
              </w:rPr>
            </w:pPr>
            <w:r w:rsidRPr="007E33C6">
              <w:rPr>
                <w:sz w:val="21"/>
                <w:szCs w:val="21"/>
              </w:rPr>
              <w:t>We provide a range of relationship services including:</w:t>
            </w:r>
          </w:p>
          <w:p w14:paraId="04A7583F" w14:textId="77777777" w:rsidR="007E33C6" w:rsidRDefault="007E33C6" w:rsidP="007E33C6">
            <w:pPr>
              <w:pStyle w:val="Bullet"/>
              <w:numPr>
                <w:ilvl w:val="0"/>
                <w:numId w:val="0"/>
              </w:numPr>
              <w:ind w:left="332"/>
              <w:rPr>
                <w:sz w:val="21"/>
                <w:szCs w:val="21"/>
              </w:rPr>
            </w:pPr>
          </w:p>
          <w:p w14:paraId="5719DDA5" w14:textId="77777777" w:rsidR="00546372" w:rsidRPr="00546372" w:rsidRDefault="00546372" w:rsidP="00546372">
            <w:pPr>
              <w:pStyle w:val="Bullet"/>
              <w:rPr>
                <w:sz w:val="21"/>
                <w:szCs w:val="21"/>
              </w:rPr>
            </w:pPr>
            <w:r w:rsidRPr="00546372">
              <w:rPr>
                <w:sz w:val="21"/>
                <w:szCs w:val="21"/>
              </w:rPr>
              <w:t>Individual Counselling</w:t>
            </w:r>
          </w:p>
          <w:p w14:paraId="1658E33A" w14:textId="77777777" w:rsidR="00546372" w:rsidRPr="00546372" w:rsidRDefault="00546372" w:rsidP="00546372">
            <w:pPr>
              <w:pStyle w:val="Bullet"/>
              <w:rPr>
                <w:sz w:val="21"/>
                <w:szCs w:val="21"/>
              </w:rPr>
            </w:pPr>
            <w:r w:rsidRPr="00546372">
              <w:rPr>
                <w:sz w:val="21"/>
                <w:szCs w:val="21"/>
              </w:rPr>
              <w:t>Relationship Counselling</w:t>
            </w:r>
          </w:p>
          <w:p w14:paraId="6B11EB34" w14:textId="77777777" w:rsidR="00546372" w:rsidRPr="00546372" w:rsidRDefault="00546372" w:rsidP="00546372">
            <w:pPr>
              <w:pStyle w:val="Bullet"/>
              <w:rPr>
                <w:sz w:val="21"/>
                <w:szCs w:val="21"/>
              </w:rPr>
            </w:pPr>
            <w:r w:rsidRPr="00546372">
              <w:rPr>
                <w:sz w:val="21"/>
                <w:szCs w:val="21"/>
              </w:rPr>
              <w:t>Family Therapy</w:t>
            </w:r>
          </w:p>
          <w:p w14:paraId="29792081" w14:textId="77777777" w:rsidR="00546372" w:rsidRPr="00546372" w:rsidRDefault="00546372" w:rsidP="00546372">
            <w:pPr>
              <w:pStyle w:val="Bullet"/>
              <w:rPr>
                <w:sz w:val="21"/>
                <w:szCs w:val="21"/>
              </w:rPr>
            </w:pPr>
            <w:r w:rsidRPr="00546372">
              <w:rPr>
                <w:sz w:val="21"/>
                <w:szCs w:val="21"/>
              </w:rPr>
              <w:t>Relationship Learning Services</w:t>
            </w:r>
          </w:p>
          <w:p w14:paraId="26E0BD05" w14:textId="77777777" w:rsidR="00546372" w:rsidRPr="00546372" w:rsidRDefault="00546372" w:rsidP="00546372">
            <w:pPr>
              <w:pStyle w:val="Bullet"/>
              <w:rPr>
                <w:sz w:val="21"/>
                <w:szCs w:val="21"/>
              </w:rPr>
            </w:pPr>
            <w:r w:rsidRPr="00546372">
              <w:rPr>
                <w:sz w:val="21"/>
                <w:szCs w:val="21"/>
              </w:rPr>
              <w:t>Family Dispute Resolution and Mediation</w:t>
            </w:r>
          </w:p>
          <w:p w14:paraId="16C03F96" w14:textId="77777777" w:rsidR="00546372" w:rsidRPr="00546372" w:rsidRDefault="00546372" w:rsidP="00546372">
            <w:pPr>
              <w:pStyle w:val="Bullet"/>
              <w:rPr>
                <w:sz w:val="21"/>
                <w:szCs w:val="21"/>
              </w:rPr>
            </w:pPr>
            <w:r w:rsidRPr="00546372">
              <w:rPr>
                <w:sz w:val="21"/>
                <w:szCs w:val="21"/>
              </w:rPr>
              <w:t>Family Violence Prevention Programs</w:t>
            </w:r>
          </w:p>
          <w:p w14:paraId="68541E01" w14:textId="77777777" w:rsidR="00546372" w:rsidRPr="00546372" w:rsidRDefault="00546372" w:rsidP="00546372">
            <w:pPr>
              <w:pStyle w:val="Bullet"/>
              <w:rPr>
                <w:sz w:val="21"/>
                <w:szCs w:val="21"/>
              </w:rPr>
            </w:pPr>
            <w:r w:rsidRPr="00546372">
              <w:rPr>
                <w:sz w:val="21"/>
                <w:szCs w:val="21"/>
              </w:rPr>
              <w:t>VicRoads Safe Driving Program</w:t>
            </w:r>
          </w:p>
          <w:p w14:paraId="02795B11" w14:textId="77777777" w:rsidR="007E33C6" w:rsidRPr="007E33C6" w:rsidRDefault="007E33C6" w:rsidP="007E33C6">
            <w:pPr>
              <w:pStyle w:val="Bullet"/>
              <w:numPr>
                <w:ilvl w:val="0"/>
                <w:numId w:val="0"/>
              </w:numPr>
              <w:ind w:left="332"/>
              <w:rPr>
                <w:sz w:val="21"/>
                <w:szCs w:val="21"/>
              </w:rPr>
            </w:pPr>
          </w:p>
          <w:p w14:paraId="251DB921" w14:textId="77777777" w:rsidR="007E33C6" w:rsidRPr="007E33C6" w:rsidRDefault="007E33C6" w:rsidP="007E33C6">
            <w:pPr>
              <w:pStyle w:val="Subtitle"/>
              <w:ind w:right="254"/>
              <w:rPr>
                <w:rFonts w:ascii="Arial" w:hAnsi="Arial" w:cs="Arial"/>
                <w:b w:val="0"/>
                <w:sz w:val="21"/>
                <w:szCs w:val="21"/>
              </w:rPr>
            </w:pPr>
            <w:r w:rsidRPr="007E33C6">
              <w:rPr>
                <w:rFonts w:ascii="Arial" w:hAnsi="Arial" w:cs="Arial"/>
                <w:b w:val="0"/>
                <w:sz w:val="21"/>
                <w:szCs w:val="21"/>
              </w:rPr>
              <w:t xml:space="preserve">At Relationship Matters, we also recognise that work and life are intimately </w:t>
            </w:r>
            <w:proofErr w:type="gramStart"/>
            <w:r w:rsidRPr="007E33C6">
              <w:rPr>
                <w:rFonts w:ascii="Arial" w:hAnsi="Arial" w:cs="Arial"/>
                <w:b w:val="0"/>
                <w:sz w:val="21"/>
                <w:szCs w:val="21"/>
              </w:rPr>
              <w:t>connected</w:t>
            </w:r>
            <w:proofErr w:type="gramEnd"/>
            <w:r w:rsidRPr="007E33C6">
              <w:rPr>
                <w:rFonts w:ascii="Arial" w:hAnsi="Arial" w:cs="Arial"/>
                <w:b w:val="0"/>
                <w:sz w:val="21"/>
                <w:szCs w:val="21"/>
              </w:rPr>
              <w:t xml:space="preserve"> and we offer workplace services for employers and employees through Employee Assistance Programs (EAP) and our Business Services division, Relationship Matters in the Workplace.</w:t>
            </w:r>
          </w:p>
          <w:p w14:paraId="690D1480" w14:textId="4FAC3006" w:rsidR="007E33C6" w:rsidRPr="007E33C6" w:rsidRDefault="007E33C6" w:rsidP="007E33C6">
            <w:pPr>
              <w:pStyle w:val="Subtitle"/>
              <w:ind w:right="254"/>
              <w:rPr>
                <w:rFonts w:ascii="Arial" w:hAnsi="Arial" w:cs="Arial"/>
                <w:b w:val="0"/>
                <w:sz w:val="21"/>
                <w:szCs w:val="21"/>
              </w:rPr>
            </w:pPr>
            <w:r w:rsidRPr="007E33C6">
              <w:rPr>
                <w:rFonts w:ascii="Arial" w:hAnsi="Arial" w:cs="Arial"/>
                <w:b w:val="0"/>
                <w:sz w:val="21"/>
                <w:szCs w:val="21"/>
              </w:rPr>
              <w:t>Relationship Matters has been supporting the community through couns</w:t>
            </w:r>
            <w:r w:rsidR="00446558">
              <w:rPr>
                <w:rFonts w:ascii="Arial" w:hAnsi="Arial" w:cs="Arial"/>
                <w:b w:val="0"/>
                <w:sz w:val="21"/>
                <w:szCs w:val="21"/>
              </w:rPr>
              <w:t>elling and education for over 70</w:t>
            </w:r>
            <w:r w:rsidRPr="007E33C6">
              <w:rPr>
                <w:rFonts w:ascii="Arial" w:hAnsi="Arial" w:cs="Arial"/>
                <w:b w:val="0"/>
                <w:sz w:val="21"/>
                <w:szCs w:val="21"/>
              </w:rPr>
              <w:t xml:space="preserve"> years and was established and supported by the Anglican Diocese over the years. Relationship Matters has a long history in marriage guidance and relationship counselling in Australia and is very proud to support marriage equality.</w:t>
            </w:r>
            <w:r w:rsidR="00F442EA">
              <w:rPr>
                <w:rFonts w:ascii="Arial" w:hAnsi="Arial" w:cs="Arial"/>
                <w:b w:val="0"/>
                <w:sz w:val="21"/>
                <w:szCs w:val="21"/>
              </w:rPr>
              <w:t xml:space="preserve"> </w:t>
            </w:r>
            <w:r w:rsidR="00F442EA" w:rsidRPr="00F442EA">
              <w:rPr>
                <w:rFonts w:ascii="Arial" w:hAnsi="Arial" w:cs="Arial"/>
                <w:b w:val="0"/>
                <w:sz w:val="21"/>
                <w:szCs w:val="21"/>
              </w:rPr>
              <w:t>Relationship Matters is now one of the largest providers of counselling and mediation services in Victoria, with nine physical sites in Metropolitan Melbourne and regional Victoria</w:t>
            </w:r>
            <w:r w:rsidR="002C3B8A">
              <w:rPr>
                <w:rFonts w:ascii="Arial" w:hAnsi="Arial" w:cs="Arial"/>
                <w:b w:val="0"/>
                <w:sz w:val="21"/>
                <w:szCs w:val="21"/>
              </w:rPr>
              <w:t>.</w:t>
            </w:r>
          </w:p>
          <w:p w14:paraId="0E2AC16F" w14:textId="77777777" w:rsidR="00791367" w:rsidRDefault="00546372" w:rsidP="00446558">
            <w:pPr>
              <w:rPr>
                <w:rFonts w:eastAsiaTheme="minorEastAsia" w:cs="Arial"/>
                <w:sz w:val="21"/>
                <w:szCs w:val="21"/>
              </w:rPr>
            </w:pPr>
            <w:r w:rsidRPr="00546372">
              <w:rPr>
                <w:rFonts w:eastAsiaTheme="minorEastAsia" w:cs="Arial"/>
                <w:sz w:val="21"/>
                <w:szCs w:val="21"/>
              </w:rPr>
              <w:t xml:space="preserve">Relationship Matters recognises relationships in all their diversity and our services are offered to individuals, </w:t>
            </w:r>
            <w:proofErr w:type="gramStart"/>
            <w:r w:rsidRPr="00546372">
              <w:rPr>
                <w:rFonts w:eastAsiaTheme="minorEastAsia" w:cs="Arial"/>
                <w:sz w:val="21"/>
                <w:szCs w:val="21"/>
              </w:rPr>
              <w:t>couples</w:t>
            </w:r>
            <w:proofErr w:type="gramEnd"/>
            <w:r w:rsidRPr="00546372">
              <w:rPr>
                <w:rFonts w:eastAsiaTheme="minorEastAsia" w:cs="Arial"/>
                <w:sz w:val="21"/>
                <w:szCs w:val="21"/>
              </w:rPr>
              <w:t xml:space="preserve"> and families inclusive of sexual orientation, gender identity, ethnicity, religion, ability or socio-economic circumstance.</w:t>
            </w:r>
          </w:p>
          <w:p w14:paraId="6B1F191E" w14:textId="77777777" w:rsidR="00546372" w:rsidRDefault="00546372" w:rsidP="00446558">
            <w:pPr>
              <w:rPr>
                <w:rFonts w:eastAsiaTheme="minorEastAsia" w:cs="Arial"/>
                <w:sz w:val="21"/>
                <w:szCs w:val="21"/>
              </w:rPr>
            </w:pPr>
          </w:p>
          <w:p w14:paraId="731ABFDE" w14:textId="6AD1D023" w:rsidR="00546372" w:rsidRPr="002D5F68" w:rsidRDefault="00546372" w:rsidP="00446558"/>
        </w:tc>
      </w:tr>
    </w:tbl>
    <w:p w14:paraId="33580F88" w14:textId="77777777" w:rsidR="008D1425" w:rsidRDefault="008D1425">
      <w:pPr>
        <w:rPr>
          <w:b/>
        </w:rPr>
      </w:pPr>
    </w:p>
    <w:p w14:paraId="5458B5BD" w14:textId="77777777" w:rsidR="008D1425" w:rsidRDefault="008D1425">
      <w:pPr>
        <w:rPr>
          <w:b/>
        </w:rPr>
      </w:pPr>
    </w:p>
    <w:p w14:paraId="6A40EBA0" w14:textId="77777777" w:rsidR="008D1425" w:rsidRDefault="008D1425">
      <w:pPr>
        <w:rPr>
          <w:b/>
        </w:rPr>
      </w:pPr>
    </w:p>
    <w:p w14:paraId="060645D5" w14:textId="77777777" w:rsidR="008D1425" w:rsidRDefault="008D1425" w:rsidP="008D1425">
      <w:pPr>
        <w:jc w:val="center"/>
      </w:pPr>
    </w:p>
    <w:p w14:paraId="39B1B0FB" w14:textId="77777777" w:rsidR="008D1425" w:rsidRDefault="008D1425" w:rsidP="008D1425">
      <w:pPr>
        <w:jc w:val="center"/>
      </w:pPr>
    </w:p>
    <w:p w14:paraId="70DF544A" w14:textId="77777777" w:rsidR="008D1425" w:rsidRDefault="008D1425" w:rsidP="008D1425">
      <w:pPr>
        <w:jc w:val="center"/>
      </w:pPr>
    </w:p>
    <w:p w14:paraId="2B9B75E3" w14:textId="57AE7605" w:rsidR="008D1425" w:rsidRPr="008D1425" w:rsidRDefault="008D1425" w:rsidP="008D1425">
      <w:pPr>
        <w:jc w:val="center"/>
        <w:rPr>
          <w:i/>
          <w:color w:val="808080" w:themeColor="background1" w:themeShade="80"/>
        </w:rPr>
      </w:pPr>
      <w:r w:rsidRPr="008D1425">
        <w:rPr>
          <w:i/>
          <w:color w:val="808080" w:themeColor="background1" w:themeShade="80"/>
        </w:rPr>
        <w:t>(</w:t>
      </w:r>
      <w:r w:rsidR="00791367" w:rsidRPr="008D1425">
        <w:rPr>
          <w:i/>
          <w:color w:val="808080" w:themeColor="background1" w:themeShade="80"/>
        </w:rPr>
        <w:t>Continued</w:t>
      </w:r>
      <w:r w:rsidRPr="008D1425">
        <w:rPr>
          <w:i/>
          <w:color w:val="808080" w:themeColor="background1" w:themeShade="80"/>
        </w:rPr>
        <w:t xml:space="preserve"> next page)</w:t>
      </w:r>
    </w:p>
    <w:p w14:paraId="579C3C67" w14:textId="77777777" w:rsidR="008D1425" w:rsidRDefault="008D1425">
      <w:pPr>
        <w:rPr>
          <w:b/>
        </w:rPr>
      </w:pPr>
    </w:p>
    <w:p w14:paraId="1FC62F1C" w14:textId="77777777" w:rsidR="008D1425" w:rsidRDefault="008D1425">
      <w:pPr>
        <w:rPr>
          <w:b/>
        </w:rPr>
      </w:pPr>
    </w:p>
    <w:p w14:paraId="110A0A09" w14:textId="77777777" w:rsidR="008D1425" w:rsidRDefault="008D1425">
      <w:pPr>
        <w:rPr>
          <w:b/>
        </w:rPr>
      </w:pPr>
    </w:p>
    <w:p w14:paraId="492FABF9" w14:textId="77777777" w:rsidR="008D1425" w:rsidRDefault="008D1425">
      <w:pPr>
        <w:rPr>
          <w:b/>
        </w:rPr>
      </w:pPr>
    </w:p>
    <w:p w14:paraId="23D88259" w14:textId="77777777" w:rsidR="008D1425" w:rsidRDefault="008D1425">
      <w:r>
        <w:rPr>
          <w:b/>
        </w:rPr>
        <w:br w:type="page"/>
      </w:r>
    </w:p>
    <w:tbl>
      <w:tblPr>
        <w:tblW w:w="10400" w:type="dxa"/>
        <w:tblInd w:w="90" w:type="dxa"/>
        <w:tblBorders>
          <w:top w:val="single" w:sz="6" w:space="0" w:color="A6A6A6" w:themeColor="background1" w:themeShade="A6"/>
          <w:bottom w:val="single" w:sz="6" w:space="0" w:color="A6A6A6" w:themeColor="background1" w:themeShade="A6"/>
          <w:insideH w:val="single" w:sz="6" w:space="0" w:color="A6A6A6" w:themeColor="background1" w:themeShade="A6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00"/>
      </w:tblGrid>
      <w:tr w:rsidR="00C715C2" w:rsidRPr="00C9649E" w14:paraId="095BBE08" w14:textId="77777777" w:rsidTr="007E76B9">
        <w:trPr>
          <w:trHeight w:val="397"/>
        </w:trPr>
        <w:tc>
          <w:tcPr>
            <w:tcW w:w="10400" w:type="dxa"/>
            <w:tcBorders>
              <w:bottom w:val="single" w:sz="6" w:space="0" w:color="A6A6A6" w:themeColor="background1" w:themeShade="A6"/>
            </w:tcBorders>
            <w:shd w:val="pct10" w:color="auto" w:fill="auto"/>
            <w:vAlign w:val="center"/>
          </w:tcPr>
          <w:p w14:paraId="55B484E9" w14:textId="0C729C07" w:rsidR="00C715C2" w:rsidRPr="008035CE" w:rsidRDefault="00C715C2" w:rsidP="007E76B9">
            <w:pPr>
              <w:pStyle w:val="Subtitle"/>
              <w:rPr>
                <w:sz w:val="21"/>
                <w:szCs w:val="21"/>
              </w:rPr>
            </w:pPr>
            <w:r w:rsidRPr="008035CE">
              <w:rPr>
                <w:sz w:val="21"/>
                <w:szCs w:val="21"/>
              </w:rPr>
              <w:lastRenderedPageBreak/>
              <w:t>Major Responsibilities</w:t>
            </w:r>
          </w:p>
        </w:tc>
      </w:tr>
      <w:tr w:rsidR="00C715C2" w:rsidRPr="00C9649E" w14:paraId="7F5BE506" w14:textId="77777777" w:rsidTr="008E600D">
        <w:trPr>
          <w:trHeight w:val="5536"/>
        </w:trPr>
        <w:tc>
          <w:tcPr>
            <w:tcW w:w="10400" w:type="dxa"/>
            <w:tcBorders>
              <w:top w:val="single" w:sz="6" w:space="0" w:color="A6A6A6" w:themeColor="background1" w:themeShade="A6"/>
            </w:tcBorders>
            <w:vAlign w:val="center"/>
          </w:tcPr>
          <w:p w14:paraId="002329EF" w14:textId="3BD18D5C" w:rsidR="00C715C2" w:rsidRPr="008035CE" w:rsidRDefault="00C715C2" w:rsidP="00A137A3">
            <w:pPr>
              <w:pStyle w:val="Subtitle"/>
              <w:ind w:right="254"/>
              <w:rPr>
                <w:sz w:val="21"/>
                <w:szCs w:val="21"/>
              </w:rPr>
            </w:pPr>
            <w:r w:rsidRPr="008035CE">
              <w:rPr>
                <w:sz w:val="21"/>
                <w:szCs w:val="21"/>
              </w:rPr>
              <w:t>Counselling for Individuals / Couples / Families</w:t>
            </w:r>
          </w:p>
          <w:p w14:paraId="600C6075" w14:textId="77777777" w:rsidR="00C715C2" w:rsidRPr="008035CE" w:rsidRDefault="00C715C2" w:rsidP="00A137A3">
            <w:pPr>
              <w:pStyle w:val="Bullet"/>
              <w:ind w:right="254"/>
              <w:rPr>
                <w:sz w:val="21"/>
                <w:szCs w:val="21"/>
              </w:rPr>
            </w:pPr>
            <w:r w:rsidRPr="008035CE">
              <w:rPr>
                <w:sz w:val="21"/>
                <w:szCs w:val="21"/>
              </w:rPr>
              <w:t xml:space="preserve">Evidence based intake, </w:t>
            </w:r>
            <w:proofErr w:type="gramStart"/>
            <w:r w:rsidRPr="008035CE">
              <w:rPr>
                <w:sz w:val="21"/>
                <w:szCs w:val="21"/>
              </w:rPr>
              <w:t>assessment</w:t>
            </w:r>
            <w:proofErr w:type="gramEnd"/>
            <w:r w:rsidRPr="008035CE">
              <w:rPr>
                <w:sz w:val="21"/>
                <w:szCs w:val="21"/>
              </w:rPr>
              <w:t xml:space="preserve"> and counselling</w:t>
            </w:r>
          </w:p>
          <w:p w14:paraId="54919F22" w14:textId="77777777" w:rsidR="00614597" w:rsidRDefault="00C715C2" w:rsidP="00614597">
            <w:pPr>
              <w:pStyle w:val="Bullet"/>
              <w:ind w:right="254"/>
              <w:rPr>
                <w:sz w:val="21"/>
                <w:szCs w:val="21"/>
              </w:rPr>
            </w:pPr>
            <w:r w:rsidRPr="008035CE">
              <w:rPr>
                <w:sz w:val="21"/>
                <w:szCs w:val="21"/>
              </w:rPr>
              <w:t>Professional and ethical management of client case load</w:t>
            </w:r>
          </w:p>
          <w:p w14:paraId="55F994FC" w14:textId="77777777" w:rsidR="00614597" w:rsidRPr="00614597" w:rsidRDefault="00614597" w:rsidP="000276BB">
            <w:pPr>
              <w:pStyle w:val="Bullet"/>
              <w:numPr>
                <w:ilvl w:val="1"/>
                <w:numId w:val="1"/>
              </w:numPr>
              <w:ind w:left="1078" w:right="254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Provision of one evening shift per week</w:t>
            </w:r>
          </w:p>
          <w:p w14:paraId="264F529F" w14:textId="36461F7E" w:rsidR="00C715C2" w:rsidRDefault="00C715C2" w:rsidP="000276BB">
            <w:pPr>
              <w:pStyle w:val="Bullet"/>
              <w:numPr>
                <w:ilvl w:val="1"/>
                <w:numId w:val="1"/>
              </w:numPr>
              <w:ind w:left="1078" w:right="254"/>
              <w:rPr>
                <w:sz w:val="21"/>
                <w:szCs w:val="21"/>
              </w:rPr>
            </w:pPr>
            <w:r w:rsidRPr="00614597">
              <w:rPr>
                <w:sz w:val="21"/>
                <w:szCs w:val="21"/>
              </w:rPr>
              <w:t xml:space="preserve">Maintain a minimum counselling session rate equivalent to </w:t>
            </w:r>
            <w:r w:rsidR="00A311B2">
              <w:rPr>
                <w:sz w:val="21"/>
                <w:szCs w:val="21"/>
              </w:rPr>
              <w:t>840</w:t>
            </w:r>
            <w:r w:rsidRPr="00614597">
              <w:rPr>
                <w:sz w:val="21"/>
                <w:szCs w:val="21"/>
              </w:rPr>
              <w:t xml:space="preserve"> sessions p.a. pro </w:t>
            </w:r>
            <w:r w:rsidR="00614597">
              <w:rPr>
                <w:sz w:val="21"/>
                <w:szCs w:val="21"/>
              </w:rPr>
              <w:t>rata for a full-time counsellor (</w:t>
            </w:r>
            <w:proofErr w:type="gramStart"/>
            <w:r w:rsidRPr="00614597">
              <w:rPr>
                <w:sz w:val="21"/>
                <w:szCs w:val="21"/>
              </w:rPr>
              <w:t>i</w:t>
            </w:r>
            <w:r w:rsidR="00A311B2">
              <w:rPr>
                <w:sz w:val="21"/>
                <w:szCs w:val="21"/>
              </w:rPr>
              <w:t>.e.</w:t>
            </w:r>
            <w:proofErr w:type="gramEnd"/>
            <w:r w:rsidR="00A311B2">
              <w:rPr>
                <w:sz w:val="21"/>
                <w:szCs w:val="21"/>
              </w:rPr>
              <w:t xml:space="preserve"> minimum of 4</w:t>
            </w:r>
            <w:r w:rsidR="007A1B70" w:rsidRPr="00614597">
              <w:rPr>
                <w:sz w:val="21"/>
                <w:szCs w:val="21"/>
              </w:rPr>
              <w:t xml:space="preserve"> clients per 7.6</w:t>
            </w:r>
            <w:r w:rsidR="00614597">
              <w:rPr>
                <w:sz w:val="21"/>
                <w:szCs w:val="21"/>
              </w:rPr>
              <w:t xml:space="preserve"> hours, including EAP services)</w:t>
            </w:r>
          </w:p>
          <w:p w14:paraId="4C216159" w14:textId="77777777" w:rsidR="00C715C2" w:rsidRPr="008035CE" w:rsidRDefault="00C715C2" w:rsidP="00A137A3">
            <w:pPr>
              <w:pStyle w:val="Bullet"/>
              <w:ind w:right="254"/>
              <w:rPr>
                <w:sz w:val="21"/>
                <w:szCs w:val="21"/>
              </w:rPr>
            </w:pPr>
            <w:r w:rsidRPr="008035CE">
              <w:rPr>
                <w:sz w:val="21"/>
                <w:szCs w:val="21"/>
              </w:rPr>
              <w:t>Develop and maintain effective relationships with local organisations and referring agencies</w:t>
            </w:r>
          </w:p>
          <w:p w14:paraId="37A06707" w14:textId="77777777" w:rsidR="00C715C2" w:rsidRPr="008035CE" w:rsidRDefault="00C715C2" w:rsidP="00A137A3">
            <w:pPr>
              <w:pStyle w:val="Bullet"/>
              <w:ind w:right="254"/>
              <w:rPr>
                <w:sz w:val="21"/>
                <w:szCs w:val="21"/>
              </w:rPr>
            </w:pPr>
            <w:r w:rsidRPr="008035CE">
              <w:rPr>
                <w:sz w:val="21"/>
                <w:szCs w:val="21"/>
              </w:rPr>
              <w:t>Active commitment to professional development, case presentations, peer support and supervision</w:t>
            </w:r>
          </w:p>
          <w:p w14:paraId="1F9D4D43" w14:textId="4C4B3FDA" w:rsidR="00C715C2" w:rsidRDefault="00A311B2" w:rsidP="00A137A3">
            <w:pPr>
              <w:pStyle w:val="Bullet"/>
              <w:ind w:right="254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Provide assistance to</w:t>
            </w:r>
            <w:proofErr w:type="gramEnd"/>
            <w:r>
              <w:rPr>
                <w:sz w:val="21"/>
                <w:szCs w:val="21"/>
              </w:rPr>
              <w:t xml:space="preserve"> the </w:t>
            </w:r>
            <w:r w:rsidRPr="008035CE">
              <w:rPr>
                <w:sz w:val="21"/>
                <w:szCs w:val="21"/>
              </w:rPr>
              <w:t xml:space="preserve">Coordinator Family Relationships </w:t>
            </w:r>
            <w:r>
              <w:rPr>
                <w:sz w:val="21"/>
                <w:szCs w:val="21"/>
              </w:rPr>
              <w:t xml:space="preserve">in oversight and delivery of </w:t>
            </w:r>
            <w:r w:rsidR="00C715C2" w:rsidRPr="008035CE">
              <w:rPr>
                <w:sz w:val="21"/>
                <w:szCs w:val="21"/>
              </w:rPr>
              <w:t>safe</w:t>
            </w:r>
            <w:r>
              <w:rPr>
                <w:sz w:val="21"/>
                <w:szCs w:val="21"/>
              </w:rPr>
              <w:t xml:space="preserve">, timely and effective </w:t>
            </w:r>
            <w:r w:rsidR="00C715C2" w:rsidRPr="008035CE">
              <w:rPr>
                <w:sz w:val="21"/>
                <w:szCs w:val="21"/>
              </w:rPr>
              <w:t>psy</w:t>
            </w:r>
            <w:r>
              <w:rPr>
                <w:sz w:val="21"/>
                <w:szCs w:val="21"/>
              </w:rPr>
              <w:t>cho-educational group programs</w:t>
            </w:r>
          </w:p>
          <w:p w14:paraId="5ABFA722" w14:textId="057BA284" w:rsidR="00F442EA" w:rsidRPr="008035CE" w:rsidRDefault="00F442EA" w:rsidP="00F442EA">
            <w:pPr>
              <w:pStyle w:val="Bullet"/>
              <w:numPr>
                <w:ilvl w:val="1"/>
                <w:numId w:val="1"/>
              </w:numPr>
              <w:ind w:left="1078" w:right="254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This contributes to the minimum counselling session rate</w:t>
            </w:r>
          </w:p>
          <w:p w14:paraId="70A9D562" w14:textId="77777777" w:rsidR="00C715C2" w:rsidRPr="008035CE" w:rsidRDefault="00C715C2" w:rsidP="00A137A3">
            <w:pPr>
              <w:pStyle w:val="Bullet"/>
              <w:ind w:right="254"/>
              <w:rPr>
                <w:sz w:val="21"/>
                <w:szCs w:val="21"/>
              </w:rPr>
            </w:pPr>
            <w:r w:rsidRPr="008035CE">
              <w:rPr>
                <w:sz w:val="21"/>
                <w:szCs w:val="21"/>
              </w:rPr>
              <w:t>Provide EAP services in consultation with the Workplace Service Manager</w:t>
            </w:r>
          </w:p>
          <w:p w14:paraId="3E6C0CD5" w14:textId="029EB4A6" w:rsidR="00C715C2" w:rsidRPr="008035CE" w:rsidRDefault="00C715C2" w:rsidP="00A137A3">
            <w:pPr>
              <w:pStyle w:val="Bullet"/>
              <w:ind w:right="254"/>
              <w:rPr>
                <w:sz w:val="21"/>
                <w:szCs w:val="21"/>
              </w:rPr>
            </w:pPr>
            <w:r w:rsidRPr="008035CE">
              <w:rPr>
                <w:sz w:val="21"/>
                <w:szCs w:val="21"/>
              </w:rPr>
              <w:t>Primary consultat</w:t>
            </w:r>
            <w:r w:rsidR="009C5EC7">
              <w:rPr>
                <w:sz w:val="21"/>
                <w:szCs w:val="21"/>
              </w:rPr>
              <w:t>ion with organisations where a c</w:t>
            </w:r>
            <w:r w:rsidRPr="008035CE">
              <w:rPr>
                <w:sz w:val="21"/>
                <w:szCs w:val="21"/>
              </w:rPr>
              <w:t>ritical incident has occurred, followed by intervention on-site or other venues as arranged with affected employees</w:t>
            </w:r>
          </w:p>
          <w:p w14:paraId="52352783" w14:textId="77777777" w:rsidR="00C715C2" w:rsidRPr="008035CE" w:rsidRDefault="00C715C2" w:rsidP="00A137A3">
            <w:pPr>
              <w:pStyle w:val="Bullet"/>
              <w:ind w:right="254"/>
              <w:rPr>
                <w:sz w:val="21"/>
                <w:szCs w:val="21"/>
              </w:rPr>
            </w:pPr>
            <w:r w:rsidRPr="008035CE">
              <w:rPr>
                <w:sz w:val="21"/>
                <w:szCs w:val="21"/>
              </w:rPr>
              <w:t>Identify and follow up risk issues as required</w:t>
            </w:r>
          </w:p>
          <w:p w14:paraId="0A8EC9FE" w14:textId="757314C5" w:rsidR="00C715C2" w:rsidRPr="008035CE" w:rsidRDefault="00C715C2" w:rsidP="00A137A3">
            <w:pPr>
              <w:pStyle w:val="Bullet"/>
              <w:ind w:right="254"/>
              <w:rPr>
                <w:sz w:val="21"/>
                <w:szCs w:val="21"/>
              </w:rPr>
            </w:pPr>
            <w:r w:rsidRPr="008035CE">
              <w:rPr>
                <w:sz w:val="21"/>
                <w:szCs w:val="21"/>
              </w:rPr>
              <w:t>Refer clients to internal (</w:t>
            </w:r>
            <w:proofErr w:type="gramStart"/>
            <w:r w:rsidRPr="008035CE">
              <w:rPr>
                <w:sz w:val="21"/>
                <w:szCs w:val="21"/>
              </w:rPr>
              <w:t>e.g.</w:t>
            </w:r>
            <w:proofErr w:type="gramEnd"/>
            <w:r w:rsidRPr="008035CE">
              <w:rPr>
                <w:sz w:val="21"/>
                <w:szCs w:val="21"/>
              </w:rPr>
              <w:t xml:space="preserve"> </w:t>
            </w:r>
            <w:proofErr w:type="spellStart"/>
            <w:r w:rsidRPr="008035CE">
              <w:rPr>
                <w:sz w:val="21"/>
                <w:szCs w:val="21"/>
              </w:rPr>
              <w:t>FaRS</w:t>
            </w:r>
            <w:proofErr w:type="spellEnd"/>
            <w:r w:rsidRPr="008035CE">
              <w:rPr>
                <w:sz w:val="21"/>
                <w:szCs w:val="21"/>
              </w:rPr>
              <w:t xml:space="preserve"> psycho-educational group programs, MBCP) or external (e.g. </w:t>
            </w:r>
            <w:r w:rsidR="006644A3" w:rsidRPr="008035CE">
              <w:rPr>
                <w:sz w:val="21"/>
                <w:szCs w:val="21"/>
              </w:rPr>
              <w:t xml:space="preserve">primary care, </w:t>
            </w:r>
            <w:r w:rsidRPr="008035CE">
              <w:rPr>
                <w:sz w:val="21"/>
                <w:szCs w:val="21"/>
              </w:rPr>
              <w:t>stepped care, specialist agencies) as appropriate</w:t>
            </w:r>
          </w:p>
          <w:p w14:paraId="56EA8E24" w14:textId="66903D84" w:rsidR="00C715C2" w:rsidRPr="008035CE" w:rsidRDefault="00C715C2" w:rsidP="007E76B9">
            <w:pPr>
              <w:pStyle w:val="Bullet"/>
              <w:ind w:right="254"/>
              <w:rPr>
                <w:sz w:val="21"/>
                <w:szCs w:val="21"/>
              </w:rPr>
            </w:pPr>
            <w:r w:rsidRPr="008035CE">
              <w:rPr>
                <w:sz w:val="21"/>
                <w:szCs w:val="21"/>
              </w:rPr>
              <w:t>Undertake additional duties as directed by management in accordance with grade</w:t>
            </w:r>
          </w:p>
        </w:tc>
      </w:tr>
      <w:tr w:rsidR="00C715C2" w:rsidRPr="009A491A" w14:paraId="0320CEB1" w14:textId="77777777" w:rsidTr="008E600D">
        <w:trPr>
          <w:trHeight w:val="2099"/>
        </w:trPr>
        <w:tc>
          <w:tcPr>
            <w:tcW w:w="10400" w:type="dxa"/>
            <w:vAlign w:val="center"/>
          </w:tcPr>
          <w:p w14:paraId="4554B34A" w14:textId="77777777" w:rsidR="00C715C2" w:rsidRPr="008035CE" w:rsidRDefault="00C715C2" w:rsidP="00A137A3">
            <w:pPr>
              <w:pStyle w:val="Subtitle"/>
              <w:ind w:right="254"/>
              <w:rPr>
                <w:sz w:val="21"/>
                <w:szCs w:val="21"/>
              </w:rPr>
            </w:pPr>
            <w:r w:rsidRPr="008035CE">
              <w:rPr>
                <w:sz w:val="21"/>
                <w:szCs w:val="21"/>
              </w:rPr>
              <w:t>Data Collection, Administration and Reporting</w:t>
            </w:r>
          </w:p>
          <w:p w14:paraId="5D6EE7C3" w14:textId="77777777" w:rsidR="00C715C2" w:rsidRPr="008035CE" w:rsidRDefault="00C715C2" w:rsidP="00A137A3">
            <w:pPr>
              <w:pStyle w:val="Bullet"/>
              <w:ind w:right="254"/>
              <w:rPr>
                <w:sz w:val="21"/>
                <w:szCs w:val="21"/>
              </w:rPr>
            </w:pPr>
            <w:r w:rsidRPr="008035CE">
              <w:rPr>
                <w:sz w:val="21"/>
                <w:szCs w:val="21"/>
              </w:rPr>
              <w:t>Client record management and information sharing complies with organisational, funding body and legislative requirements</w:t>
            </w:r>
          </w:p>
          <w:p w14:paraId="02BE016E" w14:textId="15D5F30A" w:rsidR="00C715C2" w:rsidRPr="008035CE" w:rsidRDefault="00C3011E" w:rsidP="00A137A3">
            <w:pPr>
              <w:pStyle w:val="Bullet"/>
              <w:ind w:right="254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Ensure e</w:t>
            </w:r>
            <w:r w:rsidR="00C715C2" w:rsidRPr="008035CE">
              <w:rPr>
                <w:sz w:val="21"/>
                <w:szCs w:val="21"/>
              </w:rPr>
              <w:t xml:space="preserve">very interaction pertaining to </w:t>
            </w:r>
            <w:r>
              <w:rPr>
                <w:sz w:val="21"/>
                <w:szCs w:val="21"/>
              </w:rPr>
              <w:t xml:space="preserve">each </w:t>
            </w:r>
            <w:r w:rsidR="00C715C2" w:rsidRPr="008035CE">
              <w:rPr>
                <w:sz w:val="21"/>
                <w:szCs w:val="21"/>
              </w:rPr>
              <w:t xml:space="preserve">client </w:t>
            </w:r>
            <w:r>
              <w:rPr>
                <w:sz w:val="21"/>
                <w:szCs w:val="21"/>
              </w:rPr>
              <w:t xml:space="preserve">is </w:t>
            </w:r>
            <w:r w:rsidR="00C715C2" w:rsidRPr="008035CE">
              <w:rPr>
                <w:sz w:val="21"/>
                <w:szCs w:val="21"/>
              </w:rPr>
              <w:t>well documented within specified timeframes</w:t>
            </w:r>
          </w:p>
          <w:p w14:paraId="2D7F2E52" w14:textId="3554DA45" w:rsidR="00C715C2" w:rsidRPr="008035CE" w:rsidRDefault="00C715C2" w:rsidP="00D71E33">
            <w:pPr>
              <w:pStyle w:val="Bullet"/>
              <w:ind w:right="254"/>
              <w:rPr>
                <w:sz w:val="21"/>
                <w:szCs w:val="21"/>
              </w:rPr>
            </w:pPr>
            <w:r w:rsidRPr="008035CE">
              <w:rPr>
                <w:sz w:val="21"/>
                <w:szCs w:val="21"/>
              </w:rPr>
              <w:t xml:space="preserve">Assist in program </w:t>
            </w:r>
            <w:r w:rsidR="00D71E33">
              <w:rPr>
                <w:sz w:val="21"/>
                <w:szCs w:val="21"/>
              </w:rPr>
              <w:t xml:space="preserve">review and </w:t>
            </w:r>
            <w:r w:rsidRPr="008035CE">
              <w:rPr>
                <w:sz w:val="21"/>
                <w:szCs w:val="21"/>
              </w:rPr>
              <w:t>evaluation</w:t>
            </w:r>
            <w:r w:rsidR="00D71E33">
              <w:rPr>
                <w:sz w:val="21"/>
                <w:szCs w:val="21"/>
              </w:rPr>
              <w:t>s, including any initiated by funding bodies</w:t>
            </w:r>
          </w:p>
        </w:tc>
      </w:tr>
      <w:tr w:rsidR="00C715C2" w:rsidRPr="008035CE" w14:paraId="02898467" w14:textId="77777777" w:rsidTr="008E600D">
        <w:tblPrEx>
          <w:tblBorders>
            <w:insideV w:val="single" w:sz="6" w:space="0" w:color="A6A6A6" w:themeColor="background1" w:themeShade="A6"/>
          </w:tblBorders>
        </w:tblPrEx>
        <w:trPr>
          <w:trHeight w:val="2544"/>
        </w:trPr>
        <w:tc>
          <w:tcPr>
            <w:tcW w:w="10400" w:type="dxa"/>
            <w:tcBorders>
              <w:bottom w:val="single" w:sz="6" w:space="0" w:color="A6A6A6" w:themeColor="background1" w:themeShade="A6"/>
            </w:tcBorders>
            <w:vAlign w:val="center"/>
          </w:tcPr>
          <w:p w14:paraId="16B6888C" w14:textId="77777777" w:rsidR="00C715C2" w:rsidRPr="008035CE" w:rsidRDefault="00C715C2" w:rsidP="00A137A3">
            <w:pPr>
              <w:pStyle w:val="Subtitle"/>
              <w:ind w:right="254"/>
              <w:rPr>
                <w:sz w:val="21"/>
                <w:szCs w:val="21"/>
              </w:rPr>
            </w:pPr>
            <w:r w:rsidRPr="008035CE">
              <w:rPr>
                <w:sz w:val="21"/>
                <w:szCs w:val="21"/>
              </w:rPr>
              <w:t>Continuous Quality Improvement</w:t>
            </w:r>
          </w:p>
          <w:p w14:paraId="73A121B9" w14:textId="2624E368" w:rsidR="00C715C2" w:rsidRPr="008035CE" w:rsidRDefault="00C715C2" w:rsidP="007E76B9">
            <w:pPr>
              <w:pStyle w:val="Bullet"/>
              <w:ind w:right="254"/>
              <w:rPr>
                <w:sz w:val="21"/>
                <w:szCs w:val="21"/>
              </w:rPr>
            </w:pPr>
            <w:r w:rsidRPr="008035CE">
              <w:rPr>
                <w:sz w:val="21"/>
                <w:szCs w:val="21"/>
              </w:rPr>
              <w:t xml:space="preserve">Maintain compliance with current Relationship Matters’ Policies and Procedures, </w:t>
            </w:r>
            <w:r w:rsidR="00A137A3" w:rsidRPr="008035CE">
              <w:rPr>
                <w:sz w:val="21"/>
                <w:szCs w:val="21"/>
              </w:rPr>
              <w:t>including updates as relevant</w:t>
            </w:r>
          </w:p>
          <w:p w14:paraId="07979F43" w14:textId="751739FB" w:rsidR="00C715C2" w:rsidRPr="008035CE" w:rsidRDefault="00C715C2" w:rsidP="007E76B9">
            <w:pPr>
              <w:pStyle w:val="Bullet"/>
              <w:ind w:right="254"/>
              <w:rPr>
                <w:sz w:val="21"/>
                <w:szCs w:val="21"/>
              </w:rPr>
            </w:pPr>
            <w:r w:rsidRPr="008035CE">
              <w:rPr>
                <w:sz w:val="21"/>
                <w:szCs w:val="21"/>
              </w:rPr>
              <w:t xml:space="preserve">Use </w:t>
            </w:r>
            <w:r w:rsidR="000D4C04">
              <w:rPr>
                <w:sz w:val="21"/>
                <w:szCs w:val="21"/>
              </w:rPr>
              <w:t xml:space="preserve">current </w:t>
            </w:r>
            <w:r w:rsidRPr="008035CE">
              <w:rPr>
                <w:sz w:val="21"/>
                <w:szCs w:val="21"/>
              </w:rPr>
              <w:t>organisational/program tools and templates as available on the intranet</w:t>
            </w:r>
          </w:p>
          <w:p w14:paraId="19B6528C" w14:textId="5B652803" w:rsidR="008035CE" w:rsidRPr="008035CE" w:rsidRDefault="00C715C2" w:rsidP="007D4F43">
            <w:pPr>
              <w:pStyle w:val="Bullet"/>
              <w:ind w:right="254"/>
              <w:rPr>
                <w:sz w:val="21"/>
                <w:szCs w:val="21"/>
              </w:rPr>
            </w:pPr>
            <w:r w:rsidRPr="008035CE">
              <w:rPr>
                <w:sz w:val="21"/>
                <w:szCs w:val="21"/>
              </w:rPr>
              <w:t xml:space="preserve">Maintain collective responsibility to ensure the </w:t>
            </w:r>
            <w:r w:rsidR="007D4F43">
              <w:rPr>
                <w:sz w:val="21"/>
                <w:szCs w:val="21"/>
              </w:rPr>
              <w:t xml:space="preserve">Policies, Procedures, </w:t>
            </w:r>
            <w:proofErr w:type="gramStart"/>
            <w:r w:rsidR="007D4F43">
              <w:rPr>
                <w:sz w:val="21"/>
                <w:szCs w:val="21"/>
              </w:rPr>
              <w:t>tools</w:t>
            </w:r>
            <w:proofErr w:type="gramEnd"/>
            <w:r w:rsidR="007D4F43">
              <w:rPr>
                <w:sz w:val="21"/>
                <w:szCs w:val="21"/>
              </w:rPr>
              <w:t xml:space="preserve"> and templates </w:t>
            </w:r>
            <w:r w:rsidRPr="008035CE">
              <w:rPr>
                <w:sz w:val="21"/>
                <w:szCs w:val="21"/>
              </w:rPr>
              <w:t>remain evidence informed and fit for purpose, in consultation with Regional Manager and Executive Manager Clinical Practice and Outcomes</w:t>
            </w:r>
          </w:p>
        </w:tc>
      </w:tr>
      <w:tr w:rsidR="00266215" w:rsidRPr="008035CE" w14:paraId="2FA60473" w14:textId="77777777" w:rsidTr="007E76B9">
        <w:tblPrEx>
          <w:tblBorders>
            <w:insideV w:val="single" w:sz="6" w:space="0" w:color="A6A6A6" w:themeColor="background1" w:themeShade="A6"/>
          </w:tblBorders>
        </w:tblPrEx>
        <w:trPr>
          <w:trHeight w:val="1541"/>
        </w:trPr>
        <w:tc>
          <w:tcPr>
            <w:tcW w:w="10400" w:type="dxa"/>
            <w:tcBorders>
              <w:bottom w:val="nil"/>
            </w:tcBorders>
            <w:vAlign w:val="center"/>
          </w:tcPr>
          <w:p w14:paraId="7045B60A" w14:textId="77777777" w:rsidR="008E600D" w:rsidRDefault="008E600D" w:rsidP="00A137A3">
            <w:pPr>
              <w:pStyle w:val="Subtitle"/>
              <w:ind w:right="254"/>
              <w:rPr>
                <w:sz w:val="21"/>
                <w:szCs w:val="21"/>
              </w:rPr>
            </w:pPr>
          </w:p>
          <w:p w14:paraId="02F96334" w14:textId="77777777" w:rsidR="00266215" w:rsidRPr="008035CE" w:rsidRDefault="00266215" w:rsidP="00A137A3">
            <w:pPr>
              <w:pStyle w:val="Subtitle"/>
              <w:ind w:right="254"/>
              <w:rPr>
                <w:sz w:val="21"/>
                <w:szCs w:val="21"/>
              </w:rPr>
            </w:pPr>
            <w:r w:rsidRPr="008035CE">
              <w:rPr>
                <w:sz w:val="21"/>
                <w:szCs w:val="21"/>
              </w:rPr>
              <w:t>Workplace Health and Safety</w:t>
            </w:r>
          </w:p>
          <w:p w14:paraId="345F7179" w14:textId="674A19CE" w:rsidR="00266215" w:rsidRPr="008035CE" w:rsidRDefault="00266215" w:rsidP="00A137A3">
            <w:pPr>
              <w:pStyle w:val="Bullet"/>
              <w:ind w:right="254"/>
              <w:rPr>
                <w:sz w:val="21"/>
                <w:szCs w:val="21"/>
              </w:rPr>
            </w:pPr>
            <w:r w:rsidRPr="008035CE">
              <w:rPr>
                <w:sz w:val="21"/>
                <w:szCs w:val="21"/>
              </w:rPr>
              <w:t xml:space="preserve">Comply with relevant legislation and organisational practices regarding workplace health, </w:t>
            </w:r>
            <w:proofErr w:type="gramStart"/>
            <w:r w:rsidRPr="008035CE">
              <w:rPr>
                <w:sz w:val="21"/>
                <w:szCs w:val="21"/>
              </w:rPr>
              <w:t>safety</w:t>
            </w:r>
            <w:proofErr w:type="gramEnd"/>
            <w:r w:rsidRPr="008035CE">
              <w:rPr>
                <w:sz w:val="21"/>
                <w:szCs w:val="21"/>
              </w:rPr>
              <w:t xml:space="preserve"> and environmental responsibility</w:t>
            </w:r>
          </w:p>
          <w:p w14:paraId="4C90EF8C" w14:textId="52BCDF0B" w:rsidR="00266215" w:rsidRPr="008035CE" w:rsidRDefault="00266215" w:rsidP="00A137A3">
            <w:pPr>
              <w:pStyle w:val="Bullet"/>
              <w:ind w:right="254"/>
              <w:rPr>
                <w:sz w:val="21"/>
                <w:szCs w:val="21"/>
              </w:rPr>
            </w:pPr>
            <w:r w:rsidRPr="008035CE">
              <w:rPr>
                <w:sz w:val="21"/>
                <w:szCs w:val="21"/>
              </w:rPr>
              <w:t>Participate in training, drills and procedures</w:t>
            </w:r>
            <w:r w:rsidR="007D4F43">
              <w:rPr>
                <w:sz w:val="21"/>
                <w:szCs w:val="21"/>
              </w:rPr>
              <w:t xml:space="preserve"> as directed</w:t>
            </w:r>
          </w:p>
          <w:p w14:paraId="6C282430" w14:textId="7064E4B1" w:rsidR="00266215" w:rsidRPr="008035CE" w:rsidRDefault="00266215" w:rsidP="00A137A3">
            <w:pPr>
              <w:pStyle w:val="Bullet"/>
              <w:ind w:right="254"/>
              <w:rPr>
                <w:sz w:val="21"/>
                <w:szCs w:val="21"/>
              </w:rPr>
            </w:pPr>
            <w:r w:rsidRPr="008035CE">
              <w:rPr>
                <w:sz w:val="21"/>
                <w:szCs w:val="21"/>
              </w:rPr>
              <w:t>Take reasonable steps to prevent risks to health and safety</w:t>
            </w:r>
          </w:p>
          <w:p w14:paraId="559426EC" w14:textId="2CF50EC2" w:rsidR="00266215" w:rsidRPr="008035CE" w:rsidRDefault="00266215" w:rsidP="00A137A3">
            <w:pPr>
              <w:pStyle w:val="Bullet"/>
              <w:ind w:right="254"/>
              <w:rPr>
                <w:sz w:val="21"/>
                <w:szCs w:val="21"/>
              </w:rPr>
            </w:pPr>
            <w:r w:rsidRPr="008035CE">
              <w:rPr>
                <w:sz w:val="21"/>
                <w:szCs w:val="21"/>
              </w:rPr>
              <w:t xml:space="preserve">Report workplace incidents, hazards, </w:t>
            </w:r>
            <w:proofErr w:type="gramStart"/>
            <w:r w:rsidRPr="008035CE">
              <w:rPr>
                <w:sz w:val="21"/>
                <w:szCs w:val="21"/>
              </w:rPr>
              <w:t>accidents</w:t>
            </w:r>
            <w:proofErr w:type="gramEnd"/>
            <w:r w:rsidRPr="008035CE">
              <w:rPr>
                <w:sz w:val="21"/>
                <w:szCs w:val="21"/>
              </w:rPr>
              <w:t xml:space="preserve"> and emergencies in a timely manner to the OH&amp;S Representative</w:t>
            </w:r>
          </w:p>
        </w:tc>
      </w:tr>
    </w:tbl>
    <w:p w14:paraId="59FA43EB" w14:textId="77777777" w:rsidR="008D1425" w:rsidRPr="008035CE" w:rsidRDefault="008D1425" w:rsidP="00A137A3">
      <w:pPr>
        <w:rPr>
          <w:sz w:val="21"/>
          <w:szCs w:val="21"/>
        </w:rPr>
      </w:pPr>
    </w:p>
    <w:tbl>
      <w:tblPr>
        <w:tblW w:w="10400" w:type="dxa"/>
        <w:tblInd w:w="90" w:type="dxa"/>
        <w:tblBorders>
          <w:top w:val="single" w:sz="6" w:space="0" w:color="A6A6A6" w:themeColor="background1" w:themeShade="A6"/>
          <w:left w:val="single" w:sz="6" w:space="0" w:color="A6A6A6" w:themeColor="background1" w:themeShade="A6"/>
          <w:bottom w:val="single" w:sz="6" w:space="0" w:color="A6A6A6" w:themeColor="background1" w:themeShade="A6"/>
          <w:right w:val="single" w:sz="6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4832"/>
        <w:gridCol w:w="992"/>
        <w:gridCol w:w="1882"/>
      </w:tblGrid>
      <w:tr w:rsidR="00FF6C17" w:rsidRPr="008035CE" w14:paraId="55C4D6D6" w14:textId="77777777" w:rsidTr="007E76B9">
        <w:trPr>
          <w:trHeight w:val="397"/>
          <w:tblHeader/>
        </w:trPr>
        <w:tc>
          <w:tcPr>
            <w:tcW w:w="10400" w:type="dxa"/>
            <w:gridSpan w:val="4"/>
            <w:tcBorders>
              <w:left w:val="nil"/>
              <w:bottom w:val="single" w:sz="6" w:space="0" w:color="A6A6A6" w:themeColor="background1" w:themeShade="A6"/>
              <w:right w:val="nil"/>
            </w:tcBorders>
            <w:shd w:val="pct10" w:color="auto" w:fill="auto"/>
            <w:vAlign w:val="center"/>
          </w:tcPr>
          <w:p w14:paraId="174BE60A" w14:textId="3D8184F5" w:rsidR="00FF6C17" w:rsidRPr="008035CE" w:rsidRDefault="00FF6C17" w:rsidP="00A137A3">
            <w:pPr>
              <w:pStyle w:val="Subtitle"/>
              <w:spacing w:before="0"/>
              <w:rPr>
                <w:sz w:val="21"/>
                <w:szCs w:val="21"/>
              </w:rPr>
            </w:pPr>
            <w:r w:rsidRPr="008035CE">
              <w:rPr>
                <w:sz w:val="21"/>
                <w:szCs w:val="21"/>
              </w:rPr>
              <w:lastRenderedPageBreak/>
              <w:t>Key Selection Criteria</w:t>
            </w:r>
          </w:p>
        </w:tc>
      </w:tr>
      <w:tr w:rsidR="00FF6C17" w:rsidRPr="008035CE" w14:paraId="3DC212CA" w14:textId="77777777" w:rsidTr="007E76B9">
        <w:trPr>
          <w:trHeight w:val="4174"/>
        </w:trPr>
        <w:tc>
          <w:tcPr>
            <w:tcW w:w="10400" w:type="dxa"/>
            <w:gridSpan w:val="4"/>
            <w:tcBorders>
              <w:left w:val="nil"/>
              <w:bottom w:val="single" w:sz="6" w:space="0" w:color="A6A6A6" w:themeColor="background1" w:themeShade="A6"/>
              <w:right w:val="nil"/>
            </w:tcBorders>
          </w:tcPr>
          <w:p w14:paraId="6493A0F4" w14:textId="475B5409" w:rsidR="00FD4336" w:rsidRPr="008035CE" w:rsidRDefault="00FD4336" w:rsidP="007E76B9">
            <w:pPr>
              <w:pStyle w:val="Bullet"/>
              <w:numPr>
                <w:ilvl w:val="0"/>
                <w:numId w:val="0"/>
              </w:numPr>
              <w:spacing w:before="60"/>
              <w:ind w:left="332" w:right="254" w:hanging="332"/>
              <w:rPr>
                <w:b/>
                <w:sz w:val="21"/>
                <w:szCs w:val="21"/>
              </w:rPr>
            </w:pPr>
            <w:r w:rsidRPr="008035CE">
              <w:rPr>
                <w:b/>
                <w:sz w:val="21"/>
                <w:szCs w:val="21"/>
              </w:rPr>
              <w:t>Technical Expertise</w:t>
            </w:r>
          </w:p>
          <w:p w14:paraId="78840B9F" w14:textId="7EDB8ADC" w:rsidR="00CF2109" w:rsidRPr="008035CE" w:rsidRDefault="00232561" w:rsidP="00232561">
            <w:pPr>
              <w:pStyle w:val="Bullet"/>
              <w:spacing w:before="60"/>
              <w:ind w:right="254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 minimum of 5</w:t>
            </w:r>
            <w:r w:rsidR="00CF2109" w:rsidRPr="008035CE">
              <w:rPr>
                <w:sz w:val="21"/>
                <w:szCs w:val="21"/>
              </w:rPr>
              <w:t xml:space="preserve"> years’ </w:t>
            </w:r>
            <w:r>
              <w:rPr>
                <w:sz w:val="21"/>
                <w:szCs w:val="21"/>
              </w:rPr>
              <w:t xml:space="preserve">experience in counselling, with demonstrated understanding of contemporary methods of </w:t>
            </w:r>
            <w:r w:rsidR="00213BF9">
              <w:rPr>
                <w:sz w:val="21"/>
                <w:szCs w:val="21"/>
              </w:rPr>
              <w:t xml:space="preserve">individual counselling, </w:t>
            </w:r>
            <w:r>
              <w:rPr>
                <w:sz w:val="21"/>
                <w:szCs w:val="21"/>
              </w:rPr>
              <w:t xml:space="preserve">relationship counselling, </w:t>
            </w:r>
            <w:r w:rsidRPr="008035CE">
              <w:rPr>
                <w:sz w:val="21"/>
                <w:szCs w:val="21"/>
              </w:rPr>
              <w:t>psycho-educational group programs</w:t>
            </w:r>
            <w:r>
              <w:rPr>
                <w:sz w:val="21"/>
                <w:szCs w:val="21"/>
              </w:rPr>
              <w:t>,</w:t>
            </w:r>
            <w:r w:rsidRPr="008035CE">
              <w:rPr>
                <w:sz w:val="21"/>
                <w:szCs w:val="21"/>
              </w:rPr>
              <w:t xml:space="preserve"> </w:t>
            </w:r>
            <w:r w:rsidR="00FD4336" w:rsidRPr="008035CE">
              <w:rPr>
                <w:sz w:val="21"/>
                <w:szCs w:val="21"/>
              </w:rPr>
              <w:t xml:space="preserve">client centred practice, </w:t>
            </w:r>
            <w:r w:rsidR="00A31AC7" w:rsidRPr="008035CE">
              <w:rPr>
                <w:sz w:val="21"/>
                <w:szCs w:val="21"/>
              </w:rPr>
              <w:t>risk assessment</w:t>
            </w:r>
            <w:r w:rsidR="00306C43" w:rsidRPr="008035CE">
              <w:rPr>
                <w:sz w:val="21"/>
                <w:szCs w:val="21"/>
              </w:rPr>
              <w:t xml:space="preserve"> and </w:t>
            </w:r>
            <w:r w:rsidR="00A31AC7" w:rsidRPr="008035CE">
              <w:rPr>
                <w:sz w:val="21"/>
                <w:szCs w:val="21"/>
              </w:rPr>
              <w:t>safety planning</w:t>
            </w:r>
          </w:p>
          <w:p w14:paraId="53BAFB9C" w14:textId="43051858" w:rsidR="00213BF9" w:rsidRDefault="00213BF9" w:rsidP="00213BF9">
            <w:pPr>
              <w:pStyle w:val="Bullet"/>
              <w:spacing w:before="60"/>
              <w:ind w:right="254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Demonstrated understanding of the Family Law Act 1975</w:t>
            </w:r>
            <w:r w:rsidR="00104BD4">
              <w:rPr>
                <w:sz w:val="21"/>
                <w:szCs w:val="21"/>
              </w:rPr>
              <w:t xml:space="preserve"> and the Family Violence Protection Act 2008</w:t>
            </w:r>
          </w:p>
          <w:p w14:paraId="4F4C021F" w14:textId="42FE8BDE" w:rsidR="00FD4336" w:rsidRDefault="00FD4336" w:rsidP="00A137A3">
            <w:pPr>
              <w:pStyle w:val="Bullet"/>
              <w:spacing w:before="60"/>
              <w:ind w:right="254"/>
              <w:rPr>
                <w:sz w:val="21"/>
                <w:szCs w:val="21"/>
              </w:rPr>
            </w:pPr>
            <w:r w:rsidRPr="008035CE">
              <w:rPr>
                <w:sz w:val="21"/>
                <w:szCs w:val="21"/>
              </w:rPr>
              <w:t xml:space="preserve">Computer </w:t>
            </w:r>
            <w:r w:rsidR="00213BF9">
              <w:rPr>
                <w:sz w:val="21"/>
                <w:szCs w:val="21"/>
              </w:rPr>
              <w:t xml:space="preserve">and financial </w:t>
            </w:r>
            <w:r w:rsidRPr="008035CE">
              <w:rPr>
                <w:sz w:val="21"/>
                <w:szCs w:val="21"/>
              </w:rPr>
              <w:t>literacy</w:t>
            </w:r>
            <w:r w:rsidR="00213BF9">
              <w:rPr>
                <w:sz w:val="21"/>
                <w:szCs w:val="21"/>
              </w:rPr>
              <w:t>, with experience in fee-for-service consultancy</w:t>
            </w:r>
          </w:p>
          <w:p w14:paraId="72D47A5F" w14:textId="777CD293" w:rsidR="00CF2109" w:rsidRPr="00546372" w:rsidRDefault="006B1874" w:rsidP="007E76B9">
            <w:pPr>
              <w:pStyle w:val="Bullet"/>
              <w:spacing w:before="60"/>
              <w:ind w:right="254"/>
              <w:rPr>
                <w:sz w:val="21"/>
                <w:szCs w:val="21"/>
              </w:rPr>
            </w:pPr>
            <w:r w:rsidRPr="00546372">
              <w:rPr>
                <w:sz w:val="21"/>
                <w:szCs w:val="21"/>
              </w:rPr>
              <w:t xml:space="preserve">Experience working with </w:t>
            </w:r>
            <w:r w:rsidR="007856D2" w:rsidRPr="00546372">
              <w:rPr>
                <w:sz w:val="21"/>
                <w:szCs w:val="21"/>
              </w:rPr>
              <w:t xml:space="preserve">LGBTIQ+ communities, </w:t>
            </w:r>
            <w:r w:rsidR="00CF2109" w:rsidRPr="00546372">
              <w:rPr>
                <w:sz w:val="21"/>
                <w:szCs w:val="21"/>
              </w:rPr>
              <w:t>people who use family violence and/or victim</w:t>
            </w:r>
            <w:r w:rsidR="00306C43" w:rsidRPr="00546372">
              <w:rPr>
                <w:sz w:val="21"/>
                <w:szCs w:val="21"/>
              </w:rPr>
              <w:t xml:space="preserve"> survivors is highly desirable</w:t>
            </w:r>
          </w:p>
          <w:p w14:paraId="3DFA90B3" w14:textId="675117AC" w:rsidR="00306C43" w:rsidRPr="008035CE" w:rsidRDefault="00306C43" w:rsidP="007E76B9">
            <w:pPr>
              <w:pStyle w:val="Bullet"/>
              <w:spacing w:before="60"/>
              <w:ind w:right="254"/>
              <w:rPr>
                <w:sz w:val="21"/>
                <w:szCs w:val="21"/>
              </w:rPr>
            </w:pPr>
            <w:r w:rsidRPr="008035CE">
              <w:rPr>
                <w:sz w:val="21"/>
                <w:szCs w:val="21"/>
              </w:rPr>
              <w:t xml:space="preserve">Experience in </w:t>
            </w:r>
            <w:r w:rsidR="00232561">
              <w:rPr>
                <w:sz w:val="21"/>
                <w:szCs w:val="21"/>
              </w:rPr>
              <w:t xml:space="preserve">EAP counselling </w:t>
            </w:r>
            <w:r w:rsidR="00DC02FB" w:rsidRPr="008035CE">
              <w:rPr>
                <w:sz w:val="21"/>
                <w:szCs w:val="21"/>
              </w:rPr>
              <w:t xml:space="preserve">and critical incident responses </w:t>
            </w:r>
            <w:r w:rsidR="00FD4336" w:rsidRPr="008035CE">
              <w:rPr>
                <w:sz w:val="21"/>
                <w:szCs w:val="21"/>
              </w:rPr>
              <w:t>is desirable</w:t>
            </w:r>
          </w:p>
          <w:p w14:paraId="3BFF4922" w14:textId="5451167E" w:rsidR="00FF6C17" w:rsidRPr="008035CE" w:rsidRDefault="00FD4336" w:rsidP="00A137A3">
            <w:pPr>
              <w:pStyle w:val="Subtitle"/>
              <w:ind w:right="254"/>
              <w:rPr>
                <w:sz w:val="21"/>
                <w:szCs w:val="21"/>
              </w:rPr>
            </w:pPr>
            <w:r w:rsidRPr="008035CE" w:rsidDel="00FD4336">
              <w:rPr>
                <w:sz w:val="21"/>
                <w:szCs w:val="21"/>
              </w:rPr>
              <w:t xml:space="preserve"> </w:t>
            </w:r>
            <w:r w:rsidR="00FF6C17" w:rsidRPr="008035CE">
              <w:rPr>
                <w:sz w:val="21"/>
                <w:szCs w:val="21"/>
              </w:rPr>
              <w:t>Personal Qualities</w:t>
            </w:r>
          </w:p>
          <w:p w14:paraId="4BA568BB" w14:textId="77777777" w:rsidR="00B33282" w:rsidRPr="008035CE" w:rsidRDefault="00B33282" w:rsidP="00A137A3">
            <w:pPr>
              <w:pStyle w:val="Bullet"/>
              <w:ind w:right="254"/>
              <w:rPr>
                <w:sz w:val="21"/>
                <w:szCs w:val="21"/>
              </w:rPr>
            </w:pPr>
            <w:r w:rsidRPr="008035CE">
              <w:rPr>
                <w:sz w:val="21"/>
                <w:szCs w:val="21"/>
              </w:rPr>
              <w:t xml:space="preserve">Affinity with </w:t>
            </w:r>
            <w:r w:rsidR="00887A0E" w:rsidRPr="008035CE">
              <w:rPr>
                <w:sz w:val="21"/>
                <w:szCs w:val="21"/>
              </w:rPr>
              <w:t>Relationship Matters</w:t>
            </w:r>
            <w:r w:rsidRPr="008035CE">
              <w:rPr>
                <w:sz w:val="21"/>
                <w:szCs w:val="21"/>
              </w:rPr>
              <w:t xml:space="preserve"> values</w:t>
            </w:r>
          </w:p>
          <w:p w14:paraId="4779E500" w14:textId="77777777" w:rsidR="00213BF9" w:rsidRPr="008035CE" w:rsidRDefault="00213BF9" w:rsidP="00213BF9">
            <w:pPr>
              <w:pStyle w:val="Bullet"/>
              <w:spacing w:before="60"/>
              <w:ind w:right="254"/>
              <w:rPr>
                <w:sz w:val="21"/>
                <w:szCs w:val="21"/>
              </w:rPr>
            </w:pPr>
            <w:r w:rsidRPr="008035CE">
              <w:rPr>
                <w:sz w:val="21"/>
                <w:szCs w:val="21"/>
              </w:rPr>
              <w:t>Demonstrated ability to work as part of a team and with autonomy and effective time management</w:t>
            </w:r>
          </w:p>
          <w:p w14:paraId="23AF9D6F" w14:textId="77777777" w:rsidR="00B33282" w:rsidRPr="008035CE" w:rsidRDefault="00B33282" w:rsidP="00A137A3">
            <w:pPr>
              <w:pStyle w:val="Bullet"/>
              <w:ind w:right="254"/>
              <w:rPr>
                <w:sz w:val="21"/>
                <w:szCs w:val="21"/>
              </w:rPr>
            </w:pPr>
            <w:r w:rsidRPr="008035CE">
              <w:rPr>
                <w:sz w:val="21"/>
                <w:szCs w:val="21"/>
              </w:rPr>
              <w:t>Generosity of spirit</w:t>
            </w:r>
          </w:p>
          <w:p w14:paraId="39A9AF97" w14:textId="408E28A6" w:rsidR="00887A0E" w:rsidRPr="008035CE" w:rsidRDefault="00B33282" w:rsidP="007E76B9">
            <w:pPr>
              <w:pStyle w:val="Bullet"/>
              <w:ind w:right="254"/>
              <w:rPr>
                <w:sz w:val="21"/>
                <w:szCs w:val="21"/>
              </w:rPr>
            </w:pPr>
            <w:r w:rsidRPr="008035CE">
              <w:rPr>
                <w:sz w:val="21"/>
                <w:szCs w:val="21"/>
              </w:rPr>
              <w:t>Highest ethical and professional standing</w:t>
            </w:r>
          </w:p>
        </w:tc>
      </w:tr>
      <w:tr w:rsidR="00F21C5D" w:rsidRPr="008035CE" w14:paraId="13CFD833" w14:textId="77777777" w:rsidTr="007E76B9">
        <w:trPr>
          <w:trHeight w:val="397"/>
        </w:trPr>
        <w:tc>
          <w:tcPr>
            <w:tcW w:w="10400" w:type="dxa"/>
            <w:gridSpan w:val="4"/>
            <w:tcBorders>
              <w:left w:val="nil"/>
              <w:right w:val="nil"/>
            </w:tcBorders>
            <w:shd w:val="clear" w:color="auto" w:fill="E2E0DF"/>
            <w:vAlign w:val="center"/>
          </w:tcPr>
          <w:p w14:paraId="5957AE8A" w14:textId="77777777" w:rsidR="00F21C5D" w:rsidRPr="008035CE" w:rsidRDefault="00F21C5D" w:rsidP="00A137A3">
            <w:pPr>
              <w:pStyle w:val="Subtitle"/>
              <w:rPr>
                <w:sz w:val="21"/>
                <w:szCs w:val="21"/>
              </w:rPr>
            </w:pPr>
            <w:r w:rsidRPr="008035CE">
              <w:rPr>
                <w:sz w:val="21"/>
                <w:szCs w:val="21"/>
              </w:rPr>
              <w:t>Qualifications</w:t>
            </w:r>
          </w:p>
        </w:tc>
      </w:tr>
      <w:tr w:rsidR="00F21C5D" w:rsidRPr="008035CE" w14:paraId="213D501D" w14:textId="77777777" w:rsidTr="007E76B9">
        <w:trPr>
          <w:trHeight w:val="1041"/>
        </w:trPr>
        <w:tc>
          <w:tcPr>
            <w:tcW w:w="10400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D477EC2" w14:textId="32047433" w:rsidR="00546372" w:rsidRPr="00546372" w:rsidRDefault="00546372" w:rsidP="00546372">
            <w:pPr>
              <w:pStyle w:val="Bullet"/>
              <w:rPr>
                <w:sz w:val="21"/>
                <w:szCs w:val="21"/>
              </w:rPr>
            </w:pPr>
            <w:r w:rsidRPr="00546372">
              <w:rPr>
                <w:sz w:val="21"/>
                <w:szCs w:val="21"/>
              </w:rPr>
              <w:t>Tertiary qualifications</w:t>
            </w:r>
            <w:r>
              <w:rPr>
                <w:sz w:val="21"/>
                <w:szCs w:val="21"/>
              </w:rPr>
              <w:t xml:space="preserve"> in Psychology, Social Work or</w:t>
            </w:r>
            <w:r w:rsidRPr="00546372">
              <w:rPr>
                <w:sz w:val="21"/>
                <w:szCs w:val="21"/>
              </w:rPr>
              <w:t xml:space="preserve"> Behavioural / Social Science and / or postgraduate studies in Relationship Counselling or Family Therapy</w:t>
            </w:r>
          </w:p>
          <w:p w14:paraId="27A5DDDE" w14:textId="07315B99" w:rsidR="00F21C5D" w:rsidRPr="008035CE" w:rsidRDefault="000767F2" w:rsidP="000767F2">
            <w:pPr>
              <w:pStyle w:val="Bullet"/>
              <w:spacing w:before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</w:t>
            </w:r>
            <w:r w:rsidR="00E4175A" w:rsidRPr="008035CE">
              <w:rPr>
                <w:sz w:val="21"/>
                <w:szCs w:val="21"/>
              </w:rPr>
              <w:t xml:space="preserve">egistration with </w:t>
            </w:r>
            <w:r>
              <w:rPr>
                <w:sz w:val="21"/>
                <w:szCs w:val="21"/>
              </w:rPr>
              <w:t>relevant professional body</w:t>
            </w:r>
          </w:p>
        </w:tc>
      </w:tr>
      <w:tr w:rsidR="00FF6C17" w:rsidRPr="003300B2" w14:paraId="05E40923" w14:textId="77777777" w:rsidTr="007E76B9">
        <w:trPr>
          <w:trHeight w:val="397"/>
        </w:trPr>
        <w:tc>
          <w:tcPr>
            <w:tcW w:w="10400" w:type="dxa"/>
            <w:gridSpan w:val="4"/>
            <w:tcBorders>
              <w:left w:val="nil"/>
              <w:right w:val="nil"/>
            </w:tcBorders>
            <w:shd w:val="clear" w:color="auto" w:fill="E2E0DF"/>
            <w:vAlign w:val="center"/>
          </w:tcPr>
          <w:p w14:paraId="4837206E" w14:textId="6A972486" w:rsidR="00FF6C17" w:rsidRPr="008035CE" w:rsidRDefault="00266215" w:rsidP="00E4175A">
            <w:pPr>
              <w:pStyle w:val="Subtitle"/>
              <w:rPr>
                <w:sz w:val="21"/>
                <w:szCs w:val="21"/>
              </w:rPr>
            </w:pPr>
            <w:r>
              <w:br w:type="page"/>
            </w:r>
            <w:r w:rsidR="00FF6C17" w:rsidRPr="008035CE">
              <w:rPr>
                <w:sz w:val="21"/>
                <w:szCs w:val="21"/>
              </w:rPr>
              <w:t>Terms and Conditions</w:t>
            </w:r>
          </w:p>
        </w:tc>
      </w:tr>
      <w:tr w:rsidR="00FF6C17" w14:paraId="332534D6" w14:textId="77777777" w:rsidTr="007E33C6">
        <w:trPr>
          <w:trHeight w:val="4417"/>
        </w:trPr>
        <w:tc>
          <w:tcPr>
            <w:tcW w:w="10400" w:type="dxa"/>
            <w:gridSpan w:val="4"/>
            <w:tcBorders>
              <w:left w:val="nil"/>
              <w:right w:val="nil"/>
            </w:tcBorders>
            <w:shd w:val="clear" w:color="auto" w:fill="FFFFFF"/>
          </w:tcPr>
          <w:p w14:paraId="183F29C8" w14:textId="68A844FE" w:rsidR="00FF6C17" w:rsidRPr="008035CE" w:rsidRDefault="00FF6C17" w:rsidP="00FF6C17">
            <w:pPr>
              <w:pStyle w:val="Bullet"/>
              <w:spacing w:before="60"/>
              <w:rPr>
                <w:sz w:val="21"/>
                <w:szCs w:val="21"/>
              </w:rPr>
            </w:pPr>
            <w:r w:rsidRPr="008035CE">
              <w:rPr>
                <w:sz w:val="21"/>
                <w:szCs w:val="21"/>
              </w:rPr>
              <w:t>Salary will be negotiated according to qualifications and experience and in accordance with the Social Community Homecare a</w:t>
            </w:r>
            <w:r w:rsidR="00542258">
              <w:rPr>
                <w:sz w:val="21"/>
                <w:szCs w:val="21"/>
              </w:rPr>
              <w:t>nd Disability Services Award 20</w:t>
            </w:r>
            <w:r w:rsidR="009F2B43">
              <w:rPr>
                <w:sz w:val="21"/>
                <w:szCs w:val="21"/>
              </w:rPr>
              <w:t>1</w:t>
            </w:r>
            <w:r w:rsidR="00542258">
              <w:rPr>
                <w:sz w:val="21"/>
                <w:szCs w:val="21"/>
              </w:rPr>
              <w:t>0</w:t>
            </w:r>
            <w:r w:rsidRPr="008035CE">
              <w:rPr>
                <w:sz w:val="21"/>
                <w:szCs w:val="21"/>
              </w:rPr>
              <w:t>.</w:t>
            </w:r>
          </w:p>
          <w:p w14:paraId="4A329B9F" w14:textId="426BE747" w:rsidR="00FF6C17" w:rsidRPr="008035CE" w:rsidRDefault="00FF6C17" w:rsidP="00FF6C17">
            <w:pPr>
              <w:pStyle w:val="Bullet"/>
              <w:rPr>
                <w:sz w:val="21"/>
                <w:szCs w:val="21"/>
              </w:rPr>
            </w:pPr>
            <w:r w:rsidRPr="008035CE">
              <w:rPr>
                <w:sz w:val="21"/>
                <w:szCs w:val="21"/>
              </w:rPr>
              <w:t>The position is subject to ongoing funding</w:t>
            </w:r>
            <w:r w:rsidR="002D696E" w:rsidRPr="008035CE">
              <w:rPr>
                <w:sz w:val="21"/>
                <w:szCs w:val="21"/>
              </w:rPr>
              <w:t xml:space="preserve"> </w:t>
            </w:r>
            <w:r w:rsidRPr="008035CE">
              <w:rPr>
                <w:sz w:val="21"/>
                <w:szCs w:val="21"/>
              </w:rPr>
              <w:t>and satisfactory annual performance reviews.</w:t>
            </w:r>
          </w:p>
          <w:p w14:paraId="128904EC" w14:textId="77777777" w:rsidR="00FF6C17" w:rsidRPr="008035CE" w:rsidRDefault="00FF6C17" w:rsidP="00FF6C17">
            <w:pPr>
              <w:pStyle w:val="Bullet"/>
              <w:rPr>
                <w:sz w:val="21"/>
                <w:szCs w:val="21"/>
              </w:rPr>
            </w:pPr>
            <w:r w:rsidRPr="008035CE">
              <w:rPr>
                <w:sz w:val="21"/>
                <w:szCs w:val="21"/>
              </w:rPr>
              <w:t xml:space="preserve">A </w:t>
            </w:r>
            <w:proofErr w:type="gramStart"/>
            <w:r w:rsidRPr="008035CE">
              <w:rPr>
                <w:sz w:val="21"/>
                <w:szCs w:val="21"/>
              </w:rPr>
              <w:t>six month</w:t>
            </w:r>
            <w:proofErr w:type="gramEnd"/>
            <w:r w:rsidRPr="008035CE">
              <w:rPr>
                <w:sz w:val="21"/>
                <w:szCs w:val="21"/>
              </w:rPr>
              <w:t xml:space="preserve"> probationary period applies and will be formally reviewed with key responsibilities and success indicators as outcomes.</w:t>
            </w:r>
          </w:p>
          <w:p w14:paraId="2D8E8343" w14:textId="77777777" w:rsidR="00FF6C17" w:rsidRPr="008035CE" w:rsidRDefault="00FF6C17" w:rsidP="00FF6C17">
            <w:pPr>
              <w:pStyle w:val="Bullet"/>
              <w:rPr>
                <w:sz w:val="21"/>
                <w:szCs w:val="21"/>
              </w:rPr>
            </w:pPr>
            <w:r w:rsidRPr="008035CE">
              <w:rPr>
                <w:sz w:val="21"/>
                <w:szCs w:val="21"/>
              </w:rPr>
              <w:t xml:space="preserve">Opportunity to access salary packaging according to </w:t>
            </w:r>
            <w:r w:rsidR="00887A0E" w:rsidRPr="008035CE">
              <w:rPr>
                <w:sz w:val="21"/>
                <w:szCs w:val="21"/>
              </w:rPr>
              <w:t>Relationship Matters</w:t>
            </w:r>
            <w:r w:rsidRPr="008035CE">
              <w:rPr>
                <w:sz w:val="21"/>
                <w:szCs w:val="21"/>
              </w:rPr>
              <w:t xml:space="preserve"> policy.</w:t>
            </w:r>
          </w:p>
          <w:p w14:paraId="4F4E7DA7" w14:textId="77777777" w:rsidR="00FF6C17" w:rsidRPr="008035CE" w:rsidRDefault="00FF6C17" w:rsidP="00FF6C17">
            <w:pPr>
              <w:pStyle w:val="Bullet"/>
              <w:rPr>
                <w:sz w:val="21"/>
                <w:szCs w:val="21"/>
              </w:rPr>
            </w:pPr>
            <w:r w:rsidRPr="008035CE">
              <w:rPr>
                <w:sz w:val="21"/>
                <w:szCs w:val="21"/>
              </w:rPr>
              <w:t>Access to Employee Assistance Program.</w:t>
            </w:r>
          </w:p>
          <w:p w14:paraId="1137411E" w14:textId="77777777" w:rsidR="00FF6C17" w:rsidRPr="008035CE" w:rsidRDefault="00FF6C17" w:rsidP="00FF6C17">
            <w:pPr>
              <w:pStyle w:val="Bullet"/>
              <w:rPr>
                <w:sz w:val="21"/>
                <w:szCs w:val="21"/>
              </w:rPr>
            </w:pPr>
            <w:r w:rsidRPr="008035CE">
              <w:rPr>
                <w:sz w:val="21"/>
                <w:szCs w:val="21"/>
              </w:rPr>
              <w:t>As an agency funded partially through the Commonwealth Department Social Services, all employees are required to sign an Oath of Confidentiality.</w:t>
            </w:r>
          </w:p>
          <w:p w14:paraId="0FC9E063" w14:textId="77777777" w:rsidR="00FF6C17" w:rsidRPr="008035CE" w:rsidRDefault="00FF6C17" w:rsidP="00FF6C17">
            <w:pPr>
              <w:pStyle w:val="Bullet"/>
              <w:rPr>
                <w:sz w:val="21"/>
                <w:szCs w:val="21"/>
              </w:rPr>
            </w:pPr>
            <w:r w:rsidRPr="008035CE">
              <w:rPr>
                <w:sz w:val="21"/>
                <w:szCs w:val="21"/>
              </w:rPr>
              <w:t>Travel to the branches of the organisation, including some direct service provision from these sites and other locations, including travel at short notice.</w:t>
            </w:r>
          </w:p>
          <w:p w14:paraId="4EB1EA30" w14:textId="77777777" w:rsidR="00FF6C17" w:rsidRPr="008035CE" w:rsidRDefault="00FF6C17" w:rsidP="00FF6C17">
            <w:pPr>
              <w:pStyle w:val="Bullet"/>
              <w:rPr>
                <w:sz w:val="21"/>
                <w:szCs w:val="21"/>
              </w:rPr>
            </w:pPr>
            <w:r w:rsidRPr="008035CE">
              <w:rPr>
                <w:sz w:val="21"/>
                <w:szCs w:val="21"/>
              </w:rPr>
              <w:t>Out-of-hours critical incident responses when required.</w:t>
            </w:r>
          </w:p>
          <w:p w14:paraId="1A72246F" w14:textId="77777777" w:rsidR="00FF6C17" w:rsidRPr="008035CE" w:rsidRDefault="00FF6C17" w:rsidP="00FF6C17">
            <w:pPr>
              <w:pStyle w:val="Bullet"/>
              <w:rPr>
                <w:sz w:val="21"/>
                <w:szCs w:val="21"/>
              </w:rPr>
            </w:pPr>
            <w:r w:rsidRPr="008035CE">
              <w:rPr>
                <w:sz w:val="21"/>
                <w:szCs w:val="21"/>
              </w:rPr>
              <w:t>A current driver’s licence is essential.</w:t>
            </w:r>
          </w:p>
          <w:p w14:paraId="27EC6681" w14:textId="77777777" w:rsidR="00B33282" w:rsidRPr="008035CE" w:rsidRDefault="00FF6C17" w:rsidP="00F03CCC">
            <w:pPr>
              <w:pStyle w:val="Bullet"/>
              <w:rPr>
                <w:sz w:val="21"/>
                <w:szCs w:val="21"/>
              </w:rPr>
            </w:pPr>
            <w:r w:rsidRPr="008035CE">
              <w:rPr>
                <w:sz w:val="21"/>
                <w:szCs w:val="21"/>
              </w:rPr>
              <w:t>Position is subject to maintaining a current Working with Children Check and a satisfactory National Police Check.</w:t>
            </w:r>
          </w:p>
        </w:tc>
      </w:tr>
      <w:tr w:rsidR="00FF6C17" w:rsidRPr="00F264D4" w14:paraId="0F4CABB0" w14:textId="77777777" w:rsidTr="007E33C6">
        <w:tblPrEx>
          <w:tblBorders>
            <w:top w:val="single" w:sz="6" w:space="0" w:color="BFBFBF" w:themeColor="background1" w:themeShade="BF"/>
            <w:left w:val="none" w:sz="0" w:space="0" w:color="auto"/>
            <w:bottom w:val="single" w:sz="6" w:space="0" w:color="BFBFBF" w:themeColor="background1" w:themeShade="BF"/>
            <w:right w:val="none" w:sz="0" w:space="0" w:color="auto"/>
            <w:insideH w:val="single" w:sz="6" w:space="0" w:color="BFBFBF" w:themeColor="background1" w:themeShade="BF"/>
            <w:insideV w:val="single" w:sz="6" w:space="0" w:color="auto"/>
          </w:tblBorders>
        </w:tblPrEx>
        <w:trPr>
          <w:trHeight w:val="397"/>
        </w:trPr>
        <w:tc>
          <w:tcPr>
            <w:tcW w:w="10400" w:type="dxa"/>
            <w:gridSpan w:val="4"/>
            <w:shd w:val="clear" w:color="auto" w:fill="E2E0DF"/>
            <w:vAlign w:val="center"/>
          </w:tcPr>
          <w:p w14:paraId="3568C4A5" w14:textId="77777777" w:rsidR="00FF6C17" w:rsidRPr="008035CE" w:rsidRDefault="00FF6C17" w:rsidP="00E4175A">
            <w:pPr>
              <w:pStyle w:val="Subtitle"/>
              <w:rPr>
                <w:sz w:val="21"/>
                <w:szCs w:val="21"/>
              </w:rPr>
            </w:pPr>
            <w:r w:rsidRPr="008035CE">
              <w:rPr>
                <w:sz w:val="21"/>
                <w:szCs w:val="21"/>
              </w:rPr>
              <w:t>Acknowledgements</w:t>
            </w:r>
          </w:p>
        </w:tc>
      </w:tr>
      <w:tr w:rsidR="00FF6C17" w:rsidRPr="00F264D4" w14:paraId="53CFE678" w14:textId="77777777" w:rsidTr="007E33C6">
        <w:tblPrEx>
          <w:tblBorders>
            <w:top w:val="single" w:sz="6" w:space="0" w:color="BFBFBF" w:themeColor="background1" w:themeShade="BF"/>
            <w:left w:val="none" w:sz="0" w:space="0" w:color="auto"/>
            <w:bottom w:val="single" w:sz="6" w:space="0" w:color="BFBFBF" w:themeColor="background1" w:themeShade="BF"/>
            <w:right w:val="none" w:sz="0" w:space="0" w:color="auto"/>
            <w:insideH w:val="single" w:sz="6" w:space="0" w:color="BFBFBF" w:themeColor="background1" w:themeShade="BF"/>
            <w:insideV w:val="single" w:sz="6" w:space="0" w:color="auto"/>
          </w:tblBorders>
        </w:tblPrEx>
        <w:trPr>
          <w:trHeight w:val="397"/>
        </w:trPr>
        <w:tc>
          <w:tcPr>
            <w:tcW w:w="2694" w:type="dxa"/>
            <w:tcBorders>
              <w:right w:val="single" w:sz="6" w:space="0" w:color="BFBFBF" w:themeColor="background1" w:themeShade="BF"/>
            </w:tcBorders>
            <w:vAlign w:val="center"/>
          </w:tcPr>
          <w:p w14:paraId="0B6325D4" w14:textId="77777777" w:rsidR="00FF6C17" w:rsidRPr="008035CE" w:rsidRDefault="00FF6C17" w:rsidP="00B6277C">
            <w:pPr>
              <w:pStyle w:val="Subtitle"/>
              <w:rPr>
                <w:sz w:val="21"/>
                <w:szCs w:val="21"/>
              </w:rPr>
            </w:pPr>
            <w:r w:rsidRPr="008035CE">
              <w:rPr>
                <w:sz w:val="21"/>
                <w:szCs w:val="21"/>
              </w:rPr>
              <w:t>Position:</w:t>
            </w:r>
          </w:p>
        </w:tc>
        <w:tc>
          <w:tcPr>
            <w:tcW w:w="7706" w:type="dxa"/>
            <w:gridSpan w:val="3"/>
            <w:tcBorders>
              <w:left w:val="single" w:sz="6" w:space="0" w:color="BFBFBF" w:themeColor="background1" w:themeShade="BF"/>
            </w:tcBorders>
            <w:vAlign w:val="center"/>
          </w:tcPr>
          <w:p w14:paraId="75AEF3E7" w14:textId="3D39773D" w:rsidR="00FF6C17" w:rsidRPr="008035CE" w:rsidRDefault="005B06A3" w:rsidP="009C2412">
            <w:pPr>
              <w:rPr>
                <w:sz w:val="21"/>
                <w:szCs w:val="21"/>
              </w:rPr>
            </w:pPr>
            <w:r w:rsidRPr="005B06A3">
              <w:rPr>
                <w:sz w:val="21"/>
                <w:szCs w:val="21"/>
              </w:rPr>
              <w:t>Family Relationship Counsellor</w:t>
            </w:r>
          </w:p>
        </w:tc>
      </w:tr>
      <w:tr w:rsidR="00FF6C17" w:rsidRPr="00F264D4" w14:paraId="5A6DFABF" w14:textId="77777777" w:rsidTr="007E33C6">
        <w:tblPrEx>
          <w:tblBorders>
            <w:top w:val="single" w:sz="6" w:space="0" w:color="BFBFBF" w:themeColor="background1" w:themeShade="BF"/>
            <w:left w:val="none" w:sz="0" w:space="0" w:color="auto"/>
            <w:bottom w:val="single" w:sz="6" w:space="0" w:color="BFBFBF" w:themeColor="background1" w:themeShade="BF"/>
            <w:right w:val="none" w:sz="0" w:space="0" w:color="auto"/>
            <w:insideH w:val="single" w:sz="6" w:space="0" w:color="BFBFBF" w:themeColor="background1" w:themeShade="BF"/>
            <w:insideV w:val="single" w:sz="6" w:space="0" w:color="auto"/>
          </w:tblBorders>
        </w:tblPrEx>
        <w:trPr>
          <w:trHeight w:val="397"/>
        </w:trPr>
        <w:tc>
          <w:tcPr>
            <w:tcW w:w="2694" w:type="dxa"/>
            <w:tcBorders>
              <w:right w:val="single" w:sz="6" w:space="0" w:color="BFBFBF" w:themeColor="background1" w:themeShade="BF"/>
            </w:tcBorders>
            <w:vAlign w:val="center"/>
          </w:tcPr>
          <w:p w14:paraId="69C965AE" w14:textId="77777777" w:rsidR="00FF6C17" w:rsidRPr="008035CE" w:rsidRDefault="00FF6C17" w:rsidP="00B6277C">
            <w:pPr>
              <w:pStyle w:val="Subtitle"/>
              <w:rPr>
                <w:sz w:val="21"/>
                <w:szCs w:val="21"/>
              </w:rPr>
            </w:pPr>
            <w:r w:rsidRPr="008035CE">
              <w:rPr>
                <w:sz w:val="21"/>
                <w:szCs w:val="21"/>
              </w:rPr>
              <w:t>Name:</w:t>
            </w:r>
          </w:p>
        </w:tc>
        <w:tc>
          <w:tcPr>
            <w:tcW w:w="7706" w:type="dxa"/>
            <w:gridSpan w:val="3"/>
            <w:tcBorders>
              <w:left w:val="single" w:sz="6" w:space="0" w:color="BFBFBF" w:themeColor="background1" w:themeShade="BF"/>
            </w:tcBorders>
            <w:vAlign w:val="center"/>
          </w:tcPr>
          <w:p w14:paraId="6E4EA71D" w14:textId="77777777" w:rsidR="00FF6C17" w:rsidRPr="008035CE" w:rsidRDefault="00FF6C17" w:rsidP="00B6277C">
            <w:pPr>
              <w:rPr>
                <w:sz w:val="21"/>
                <w:szCs w:val="21"/>
                <w:highlight w:val="yellow"/>
              </w:rPr>
            </w:pPr>
          </w:p>
        </w:tc>
      </w:tr>
      <w:tr w:rsidR="00FF6C17" w:rsidRPr="00F264D4" w14:paraId="7E1BB192" w14:textId="77777777" w:rsidTr="007E33C6">
        <w:tblPrEx>
          <w:tblBorders>
            <w:top w:val="single" w:sz="6" w:space="0" w:color="BFBFBF" w:themeColor="background1" w:themeShade="BF"/>
            <w:left w:val="none" w:sz="0" w:space="0" w:color="auto"/>
            <w:bottom w:val="single" w:sz="6" w:space="0" w:color="BFBFBF" w:themeColor="background1" w:themeShade="BF"/>
            <w:right w:val="none" w:sz="0" w:space="0" w:color="auto"/>
            <w:insideH w:val="single" w:sz="6" w:space="0" w:color="BFBFBF" w:themeColor="background1" w:themeShade="BF"/>
            <w:insideV w:val="single" w:sz="6" w:space="0" w:color="auto"/>
          </w:tblBorders>
        </w:tblPrEx>
        <w:trPr>
          <w:trHeight w:val="397"/>
        </w:trPr>
        <w:tc>
          <w:tcPr>
            <w:tcW w:w="2694" w:type="dxa"/>
            <w:tcBorders>
              <w:right w:val="single" w:sz="6" w:space="0" w:color="BFBFBF" w:themeColor="background1" w:themeShade="BF"/>
            </w:tcBorders>
            <w:vAlign w:val="center"/>
          </w:tcPr>
          <w:p w14:paraId="48394AED" w14:textId="77777777" w:rsidR="00FF6C17" w:rsidRPr="008035CE" w:rsidRDefault="00FF6C17" w:rsidP="00B6277C">
            <w:pPr>
              <w:pStyle w:val="Subtitle"/>
              <w:rPr>
                <w:sz w:val="21"/>
                <w:szCs w:val="21"/>
              </w:rPr>
            </w:pPr>
            <w:r w:rsidRPr="008035CE">
              <w:rPr>
                <w:sz w:val="21"/>
                <w:szCs w:val="21"/>
              </w:rPr>
              <w:t>Signature:</w:t>
            </w:r>
          </w:p>
        </w:tc>
        <w:tc>
          <w:tcPr>
            <w:tcW w:w="4832" w:type="dxa"/>
            <w:tcBorders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58FC4242" w14:textId="77777777" w:rsidR="00FF6C17" w:rsidRPr="008035CE" w:rsidRDefault="00FF6C17" w:rsidP="00B6277C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6086C7D9" w14:textId="77777777" w:rsidR="00FF6C17" w:rsidRPr="008035CE" w:rsidRDefault="00FF6C17" w:rsidP="00B6277C">
            <w:pPr>
              <w:pStyle w:val="FormFieldHeader"/>
              <w:rPr>
                <w:rFonts w:cs="Arial"/>
                <w:sz w:val="21"/>
                <w:szCs w:val="21"/>
              </w:rPr>
            </w:pPr>
            <w:r w:rsidRPr="008035CE">
              <w:rPr>
                <w:rFonts w:cs="Arial"/>
                <w:sz w:val="21"/>
                <w:szCs w:val="21"/>
              </w:rPr>
              <w:t>Date:</w:t>
            </w:r>
          </w:p>
        </w:tc>
        <w:tc>
          <w:tcPr>
            <w:tcW w:w="1882" w:type="dxa"/>
            <w:tcBorders>
              <w:left w:val="single" w:sz="6" w:space="0" w:color="BFBFBF" w:themeColor="background1" w:themeShade="BF"/>
            </w:tcBorders>
            <w:vAlign w:val="center"/>
          </w:tcPr>
          <w:p w14:paraId="2DADC2EC" w14:textId="77777777" w:rsidR="00FF6C17" w:rsidRPr="008035CE" w:rsidRDefault="00FF6C17" w:rsidP="00B6277C">
            <w:pPr>
              <w:rPr>
                <w:sz w:val="21"/>
                <w:szCs w:val="21"/>
              </w:rPr>
            </w:pPr>
          </w:p>
        </w:tc>
      </w:tr>
      <w:tr w:rsidR="00733EB3" w:rsidRPr="00F264D4" w14:paraId="7EE9EE7F" w14:textId="77777777" w:rsidTr="00884456">
        <w:tblPrEx>
          <w:tblBorders>
            <w:top w:val="single" w:sz="6" w:space="0" w:color="BFBFBF" w:themeColor="background1" w:themeShade="BF"/>
            <w:left w:val="none" w:sz="0" w:space="0" w:color="auto"/>
            <w:bottom w:val="single" w:sz="6" w:space="0" w:color="BFBFBF" w:themeColor="background1" w:themeShade="BF"/>
            <w:right w:val="none" w:sz="0" w:space="0" w:color="auto"/>
            <w:insideH w:val="single" w:sz="6" w:space="0" w:color="BFBFBF" w:themeColor="background1" w:themeShade="BF"/>
            <w:insideV w:val="single" w:sz="6" w:space="0" w:color="auto"/>
          </w:tblBorders>
        </w:tblPrEx>
        <w:trPr>
          <w:trHeight w:val="397"/>
        </w:trPr>
        <w:tc>
          <w:tcPr>
            <w:tcW w:w="2694" w:type="dxa"/>
            <w:tcBorders>
              <w:right w:val="single" w:sz="6" w:space="0" w:color="BFBFBF" w:themeColor="background1" w:themeShade="BF"/>
            </w:tcBorders>
            <w:vAlign w:val="center"/>
          </w:tcPr>
          <w:p w14:paraId="07782614" w14:textId="77777777" w:rsidR="00733EB3" w:rsidRPr="008035CE" w:rsidRDefault="00733EB3" w:rsidP="00B6277C">
            <w:pPr>
              <w:pStyle w:val="Subtitle"/>
              <w:rPr>
                <w:sz w:val="21"/>
                <w:szCs w:val="21"/>
              </w:rPr>
            </w:pPr>
            <w:r w:rsidRPr="008035CE">
              <w:rPr>
                <w:sz w:val="21"/>
                <w:szCs w:val="21"/>
              </w:rPr>
              <w:t>CEO:</w:t>
            </w:r>
          </w:p>
        </w:tc>
        <w:tc>
          <w:tcPr>
            <w:tcW w:w="7706" w:type="dxa"/>
            <w:gridSpan w:val="3"/>
            <w:tcBorders>
              <w:left w:val="single" w:sz="6" w:space="0" w:color="BFBFBF" w:themeColor="background1" w:themeShade="BF"/>
            </w:tcBorders>
            <w:vAlign w:val="center"/>
          </w:tcPr>
          <w:p w14:paraId="59CF407D" w14:textId="4DC40872" w:rsidR="00733EB3" w:rsidRPr="008035CE" w:rsidRDefault="00733EB3" w:rsidP="00B6277C">
            <w:pPr>
              <w:rPr>
                <w:sz w:val="21"/>
                <w:szCs w:val="21"/>
              </w:rPr>
            </w:pPr>
            <w:r w:rsidRPr="008035CE">
              <w:rPr>
                <w:sz w:val="21"/>
                <w:szCs w:val="21"/>
              </w:rPr>
              <w:t>Janet Jukes</w:t>
            </w:r>
          </w:p>
        </w:tc>
      </w:tr>
      <w:tr w:rsidR="00FF6C17" w:rsidRPr="00F264D4" w14:paraId="06222ED3" w14:textId="77777777" w:rsidTr="007E33C6">
        <w:tblPrEx>
          <w:tblBorders>
            <w:top w:val="single" w:sz="6" w:space="0" w:color="BFBFBF" w:themeColor="background1" w:themeShade="BF"/>
            <w:left w:val="none" w:sz="0" w:space="0" w:color="auto"/>
            <w:bottom w:val="single" w:sz="6" w:space="0" w:color="BFBFBF" w:themeColor="background1" w:themeShade="BF"/>
            <w:right w:val="none" w:sz="0" w:space="0" w:color="auto"/>
            <w:insideH w:val="single" w:sz="6" w:space="0" w:color="BFBFBF" w:themeColor="background1" w:themeShade="BF"/>
            <w:insideV w:val="single" w:sz="6" w:space="0" w:color="auto"/>
          </w:tblBorders>
        </w:tblPrEx>
        <w:trPr>
          <w:trHeight w:val="397"/>
        </w:trPr>
        <w:tc>
          <w:tcPr>
            <w:tcW w:w="2694" w:type="dxa"/>
            <w:tcBorders>
              <w:right w:val="single" w:sz="6" w:space="0" w:color="BFBFBF" w:themeColor="background1" w:themeShade="BF"/>
            </w:tcBorders>
            <w:vAlign w:val="center"/>
          </w:tcPr>
          <w:p w14:paraId="6F6F7E56" w14:textId="77777777" w:rsidR="00FF6C17" w:rsidRPr="008035CE" w:rsidRDefault="00FF6C17" w:rsidP="00B6277C">
            <w:pPr>
              <w:pStyle w:val="Subtitle"/>
              <w:rPr>
                <w:sz w:val="21"/>
                <w:szCs w:val="21"/>
              </w:rPr>
            </w:pPr>
            <w:r w:rsidRPr="008035CE">
              <w:rPr>
                <w:sz w:val="21"/>
                <w:szCs w:val="21"/>
              </w:rPr>
              <w:t>CEO’s Signature:</w:t>
            </w:r>
          </w:p>
        </w:tc>
        <w:tc>
          <w:tcPr>
            <w:tcW w:w="4832" w:type="dxa"/>
            <w:tcBorders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234EA15B" w14:textId="77777777" w:rsidR="00FF6C17" w:rsidRPr="008035CE" w:rsidRDefault="00FF6C17" w:rsidP="00B6277C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1A90DA21" w14:textId="77777777" w:rsidR="00FF6C17" w:rsidRPr="008035CE" w:rsidRDefault="00FF6C17" w:rsidP="00B6277C">
            <w:pPr>
              <w:pStyle w:val="FormFieldHeader"/>
              <w:widowControl/>
              <w:rPr>
                <w:rFonts w:cs="Arial"/>
                <w:sz w:val="21"/>
                <w:szCs w:val="21"/>
              </w:rPr>
            </w:pPr>
            <w:r w:rsidRPr="008035CE">
              <w:rPr>
                <w:rFonts w:cs="Arial"/>
                <w:sz w:val="21"/>
                <w:szCs w:val="21"/>
              </w:rPr>
              <w:t>Date:</w:t>
            </w:r>
          </w:p>
        </w:tc>
        <w:tc>
          <w:tcPr>
            <w:tcW w:w="1882" w:type="dxa"/>
            <w:tcBorders>
              <w:left w:val="single" w:sz="6" w:space="0" w:color="BFBFBF" w:themeColor="background1" w:themeShade="BF"/>
            </w:tcBorders>
            <w:vAlign w:val="center"/>
          </w:tcPr>
          <w:p w14:paraId="420CF510" w14:textId="77777777" w:rsidR="00FF6C17" w:rsidRPr="008035CE" w:rsidRDefault="00FF6C17" w:rsidP="00B6277C">
            <w:pPr>
              <w:rPr>
                <w:sz w:val="21"/>
                <w:szCs w:val="21"/>
              </w:rPr>
            </w:pPr>
          </w:p>
        </w:tc>
      </w:tr>
      <w:tr w:rsidR="00FF6C17" w:rsidRPr="00F264D4" w14:paraId="3BFC3FE1" w14:textId="77777777" w:rsidTr="007E33C6">
        <w:tblPrEx>
          <w:tblBorders>
            <w:top w:val="single" w:sz="6" w:space="0" w:color="BFBFBF" w:themeColor="background1" w:themeShade="BF"/>
            <w:left w:val="none" w:sz="0" w:space="0" w:color="auto"/>
            <w:bottom w:val="single" w:sz="6" w:space="0" w:color="BFBFBF" w:themeColor="background1" w:themeShade="BF"/>
            <w:right w:val="none" w:sz="0" w:space="0" w:color="auto"/>
            <w:insideH w:val="single" w:sz="6" w:space="0" w:color="BFBFBF" w:themeColor="background1" w:themeShade="BF"/>
            <w:insideV w:val="single" w:sz="6" w:space="0" w:color="auto"/>
          </w:tblBorders>
        </w:tblPrEx>
        <w:trPr>
          <w:trHeight w:val="397"/>
        </w:trPr>
        <w:tc>
          <w:tcPr>
            <w:tcW w:w="2694" w:type="dxa"/>
            <w:tcBorders>
              <w:right w:val="single" w:sz="6" w:space="0" w:color="BFBFBF" w:themeColor="background1" w:themeShade="BF"/>
            </w:tcBorders>
            <w:vAlign w:val="center"/>
          </w:tcPr>
          <w:p w14:paraId="686AF71E" w14:textId="77777777" w:rsidR="00FF6C17" w:rsidRPr="008035CE" w:rsidRDefault="00FF6C17" w:rsidP="00B6277C">
            <w:pPr>
              <w:pStyle w:val="Subtitle"/>
              <w:rPr>
                <w:sz w:val="21"/>
                <w:szCs w:val="21"/>
              </w:rPr>
            </w:pPr>
            <w:r w:rsidRPr="008035CE">
              <w:rPr>
                <w:sz w:val="21"/>
                <w:szCs w:val="21"/>
              </w:rPr>
              <w:t xml:space="preserve">Probationary Review: </w:t>
            </w:r>
          </w:p>
        </w:tc>
        <w:tc>
          <w:tcPr>
            <w:tcW w:w="4832" w:type="dxa"/>
            <w:tcBorders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6A972904" w14:textId="77777777" w:rsidR="00FF6C17" w:rsidRPr="008035CE" w:rsidRDefault="00FF6C17" w:rsidP="00B6277C">
            <w:pPr>
              <w:rPr>
                <w:sz w:val="21"/>
                <w:szCs w:val="21"/>
              </w:rPr>
            </w:pPr>
            <w:r w:rsidRPr="008035CE">
              <w:rPr>
                <w:sz w:val="21"/>
                <w:szCs w:val="21"/>
              </w:rPr>
              <w:t>Six Months</w:t>
            </w:r>
          </w:p>
        </w:tc>
        <w:tc>
          <w:tcPr>
            <w:tcW w:w="992" w:type="dxa"/>
            <w:tcBorders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440D669B" w14:textId="77777777" w:rsidR="00FF6C17" w:rsidRPr="008035CE" w:rsidRDefault="00FF6C17" w:rsidP="00B6277C">
            <w:pPr>
              <w:pStyle w:val="FormFieldHeader"/>
              <w:widowControl/>
              <w:rPr>
                <w:rFonts w:cs="Arial"/>
                <w:sz w:val="21"/>
                <w:szCs w:val="21"/>
              </w:rPr>
            </w:pPr>
            <w:r w:rsidRPr="008035CE">
              <w:rPr>
                <w:rFonts w:cs="Arial"/>
                <w:sz w:val="21"/>
                <w:szCs w:val="21"/>
              </w:rPr>
              <w:t>Date:</w:t>
            </w:r>
          </w:p>
        </w:tc>
        <w:tc>
          <w:tcPr>
            <w:tcW w:w="1882" w:type="dxa"/>
            <w:tcBorders>
              <w:left w:val="single" w:sz="6" w:space="0" w:color="BFBFBF" w:themeColor="background1" w:themeShade="BF"/>
            </w:tcBorders>
            <w:vAlign w:val="center"/>
          </w:tcPr>
          <w:p w14:paraId="51260E37" w14:textId="77777777" w:rsidR="00FF6C17" w:rsidRPr="008035CE" w:rsidRDefault="00FF6C17" w:rsidP="00B6277C">
            <w:pPr>
              <w:rPr>
                <w:sz w:val="21"/>
                <w:szCs w:val="21"/>
              </w:rPr>
            </w:pPr>
          </w:p>
        </w:tc>
      </w:tr>
    </w:tbl>
    <w:p w14:paraId="36A04068" w14:textId="77777777" w:rsidR="002B4D1F" w:rsidRPr="007E33C6" w:rsidRDefault="007E7822" w:rsidP="007E33C6">
      <w:pPr>
        <w:rPr>
          <w:sz w:val="4"/>
          <w:szCs w:val="4"/>
        </w:rPr>
      </w:pPr>
    </w:p>
    <w:sectPr w:rsidR="002B4D1F" w:rsidRPr="007E33C6" w:rsidSect="007E76B9">
      <w:headerReference w:type="default" r:id="rId7"/>
      <w:footerReference w:type="default" r:id="rId8"/>
      <w:headerReference w:type="first" r:id="rId9"/>
      <w:pgSz w:w="11906" w:h="16838"/>
      <w:pgMar w:top="1843" w:right="707" w:bottom="900" w:left="630" w:header="720" w:footer="3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DBC0C" w14:textId="77777777" w:rsidR="004D1340" w:rsidRDefault="004D1340">
      <w:r>
        <w:separator/>
      </w:r>
    </w:p>
  </w:endnote>
  <w:endnote w:type="continuationSeparator" w:id="0">
    <w:p w14:paraId="4A20D569" w14:textId="77777777" w:rsidR="004D1340" w:rsidRDefault="004D1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142152650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B8172EA" w14:textId="77777777" w:rsidR="00961DC0" w:rsidRPr="00961DC0" w:rsidRDefault="00C77060">
        <w:pPr>
          <w:pStyle w:val="Footer"/>
          <w:pBdr>
            <w:top w:val="single" w:sz="4" w:space="1" w:color="D9D9D9" w:themeColor="background1" w:themeShade="D9"/>
          </w:pBdr>
          <w:jc w:val="right"/>
          <w:rPr>
            <w:sz w:val="16"/>
            <w:szCs w:val="16"/>
          </w:rPr>
        </w:pPr>
        <w:r w:rsidRPr="00961DC0">
          <w:rPr>
            <w:sz w:val="16"/>
            <w:szCs w:val="16"/>
          </w:rPr>
          <w:fldChar w:fldCharType="begin"/>
        </w:r>
        <w:r w:rsidRPr="00961DC0">
          <w:rPr>
            <w:sz w:val="16"/>
            <w:szCs w:val="16"/>
          </w:rPr>
          <w:instrText xml:space="preserve"> PAGE   \* MERGEFORMAT </w:instrText>
        </w:r>
        <w:r w:rsidRPr="00961DC0">
          <w:rPr>
            <w:sz w:val="16"/>
            <w:szCs w:val="16"/>
          </w:rPr>
          <w:fldChar w:fldCharType="separate"/>
        </w:r>
        <w:r w:rsidR="00546372">
          <w:rPr>
            <w:noProof/>
            <w:sz w:val="16"/>
            <w:szCs w:val="16"/>
          </w:rPr>
          <w:t>1</w:t>
        </w:r>
        <w:r w:rsidRPr="00961DC0">
          <w:rPr>
            <w:noProof/>
            <w:sz w:val="16"/>
            <w:szCs w:val="16"/>
          </w:rPr>
          <w:fldChar w:fldCharType="end"/>
        </w:r>
        <w:r w:rsidRPr="00961DC0">
          <w:rPr>
            <w:sz w:val="16"/>
            <w:szCs w:val="16"/>
          </w:rPr>
          <w:t xml:space="preserve"> | </w:t>
        </w:r>
        <w:r w:rsidRPr="00961DC0">
          <w:rPr>
            <w:color w:val="7F7F7F" w:themeColor="background1" w:themeShade="7F"/>
            <w:spacing w:val="60"/>
            <w:sz w:val="16"/>
            <w:szCs w:val="16"/>
          </w:rPr>
          <w:t>Page</w:t>
        </w:r>
      </w:p>
    </w:sdtContent>
  </w:sdt>
  <w:p w14:paraId="60227B0F" w14:textId="77777777" w:rsidR="00C75F0C" w:rsidRPr="00961DC0" w:rsidRDefault="007E7822" w:rsidP="00961D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6DA6C" w14:textId="77777777" w:rsidR="004D1340" w:rsidRDefault="004D1340">
      <w:r>
        <w:separator/>
      </w:r>
    </w:p>
  </w:footnote>
  <w:footnote w:type="continuationSeparator" w:id="0">
    <w:p w14:paraId="07BB91C3" w14:textId="77777777" w:rsidR="004D1340" w:rsidRDefault="004D13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E563C" w14:textId="77777777" w:rsidR="00016B90" w:rsidRDefault="00C77060" w:rsidP="00E15DFA">
    <w:pPr>
      <w:pStyle w:val="Header"/>
      <w:ind w:left="-180"/>
    </w:pPr>
    <w:r>
      <w:rPr>
        <w:noProof/>
        <w:lang w:val="en-AU" w:eastAsia="en-AU"/>
      </w:rPr>
      <w:drawing>
        <wp:anchor distT="0" distB="0" distL="114300" distR="114300" simplePos="0" relativeHeight="251658240" behindDoc="0" locked="0" layoutInCell="1" allowOverlap="1" wp14:anchorId="7097B31D" wp14:editId="07C97A87">
          <wp:simplePos x="0" y="0"/>
          <wp:positionH relativeFrom="margin">
            <wp:align>left</wp:align>
          </wp:positionH>
          <wp:positionV relativeFrom="paragraph">
            <wp:posOffset>-185264</wp:posOffset>
          </wp:positionV>
          <wp:extent cx="2088213" cy="704850"/>
          <wp:effectExtent l="0" t="0" r="7620" b="0"/>
          <wp:wrapThrough wrapText="bothSides">
            <wp:wrapPolygon edited="0">
              <wp:start x="0" y="0"/>
              <wp:lineTo x="0" y="21016"/>
              <wp:lineTo x="21482" y="21016"/>
              <wp:lineTo x="21482" y="0"/>
              <wp:lineTo x="0" y="0"/>
            </wp:wrapPolygon>
          </wp:wrapThrough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feWorksRelationships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88213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55F345C" w14:textId="77777777" w:rsidR="00CD1045" w:rsidRDefault="00CD1045" w:rsidP="00CD1045">
    <w:pPr>
      <w:pStyle w:val="Header"/>
    </w:pPr>
  </w:p>
  <w:p w14:paraId="20686ADE" w14:textId="77777777" w:rsidR="00016B90" w:rsidRPr="007E76B9" w:rsidRDefault="00CD1045" w:rsidP="00CD1045">
    <w:pPr>
      <w:pStyle w:val="Header"/>
      <w:rPr>
        <w:b/>
        <w:sz w:val="40"/>
        <w:szCs w:val="40"/>
      </w:rPr>
    </w:pPr>
    <w:r>
      <w:tab/>
      <w:t xml:space="preserve">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E345C" w14:textId="77777777" w:rsidR="008C043A" w:rsidRDefault="00C77060">
    <w:pPr>
      <w:pStyle w:val="Header"/>
    </w:pPr>
    <w:r>
      <w:rPr>
        <w:noProof/>
        <w:lang w:val="en-AU" w:eastAsia="en-AU"/>
      </w:rPr>
      <w:drawing>
        <wp:inline distT="0" distB="0" distL="0" distR="0" wp14:anchorId="75CBB2C9" wp14:editId="2296BAC3">
          <wp:extent cx="1657350" cy="497916"/>
          <wp:effectExtent l="0" t="0" r="0" b="0"/>
          <wp:docPr id="18" name="Picture 18" descr="LifeWorksRelationship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feWorksRelationships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0256" cy="5138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44B9D24" w14:textId="77777777" w:rsidR="008C043A" w:rsidRDefault="007E78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043EA5"/>
    <w:multiLevelType w:val="hybridMultilevel"/>
    <w:tmpl w:val="AE30DBB4"/>
    <w:lvl w:ilvl="0" w:tplc="03787426">
      <w:start w:val="1"/>
      <w:numFmt w:val="bullet"/>
      <w:lvlText w:val=""/>
      <w:lvlJc w:val="left"/>
      <w:pPr>
        <w:ind w:left="393" w:hanging="360"/>
      </w:pPr>
      <w:rPr>
        <w:rFonts w:ascii="Wingdings" w:hAnsi="Wingdings" w:hint="default"/>
        <w:b w:val="0"/>
        <w:i w:val="0"/>
        <w:color w:val="000000" w:themeColor="text1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101EED"/>
    <w:multiLevelType w:val="hybridMultilevel"/>
    <w:tmpl w:val="5CDCC978"/>
    <w:lvl w:ilvl="0" w:tplc="5BE2811A">
      <w:start w:val="1"/>
      <w:numFmt w:val="bullet"/>
      <w:pStyle w:val="Bullet"/>
      <w:lvlText w:val=""/>
      <w:lvlJc w:val="left"/>
      <w:pPr>
        <w:ind w:left="332" w:hanging="360"/>
      </w:pPr>
      <w:rPr>
        <w:rFonts w:ascii="Wingdings" w:hAnsi="Wingdings" w:hint="default"/>
        <w:color w:val="000000" w:themeColor="text1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BB6FFA"/>
    <w:multiLevelType w:val="hybridMultilevel"/>
    <w:tmpl w:val="41D86F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C17"/>
    <w:rsid w:val="0001212A"/>
    <w:rsid w:val="000276BB"/>
    <w:rsid w:val="0003460B"/>
    <w:rsid w:val="00047320"/>
    <w:rsid w:val="000767F2"/>
    <w:rsid w:val="000D4C04"/>
    <w:rsid w:val="00104BD4"/>
    <w:rsid w:val="0014287B"/>
    <w:rsid w:val="00202575"/>
    <w:rsid w:val="0020542B"/>
    <w:rsid w:val="00213BF9"/>
    <w:rsid w:val="00232561"/>
    <w:rsid w:val="00266215"/>
    <w:rsid w:val="00292EC0"/>
    <w:rsid w:val="0029467A"/>
    <w:rsid w:val="002B5C2A"/>
    <w:rsid w:val="002C217A"/>
    <w:rsid w:val="002C3B8A"/>
    <w:rsid w:val="002D5F68"/>
    <w:rsid w:val="002D696E"/>
    <w:rsid w:val="002E40A8"/>
    <w:rsid w:val="00306C43"/>
    <w:rsid w:val="00337BD3"/>
    <w:rsid w:val="00446558"/>
    <w:rsid w:val="00470A08"/>
    <w:rsid w:val="004D1340"/>
    <w:rsid w:val="004D4055"/>
    <w:rsid w:val="00520656"/>
    <w:rsid w:val="00542258"/>
    <w:rsid w:val="00546372"/>
    <w:rsid w:val="005A7291"/>
    <w:rsid w:val="005B06A3"/>
    <w:rsid w:val="005E2423"/>
    <w:rsid w:val="005E6503"/>
    <w:rsid w:val="005F38AE"/>
    <w:rsid w:val="00607793"/>
    <w:rsid w:val="00614597"/>
    <w:rsid w:val="006644A3"/>
    <w:rsid w:val="00677C2F"/>
    <w:rsid w:val="006A79AE"/>
    <w:rsid w:val="006B1212"/>
    <w:rsid w:val="006B1874"/>
    <w:rsid w:val="006C3D1A"/>
    <w:rsid w:val="00733EB3"/>
    <w:rsid w:val="00740218"/>
    <w:rsid w:val="007766A1"/>
    <w:rsid w:val="007856D2"/>
    <w:rsid w:val="00791367"/>
    <w:rsid w:val="007A11E8"/>
    <w:rsid w:val="007A1B70"/>
    <w:rsid w:val="007D4F43"/>
    <w:rsid w:val="007E33C6"/>
    <w:rsid w:val="007E76B9"/>
    <w:rsid w:val="007E7822"/>
    <w:rsid w:val="008035CE"/>
    <w:rsid w:val="00812660"/>
    <w:rsid w:val="00816047"/>
    <w:rsid w:val="00821284"/>
    <w:rsid w:val="00823DAA"/>
    <w:rsid w:val="0083613C"/>
    <w:rsid w:val="00840C45"/>
    <w:rsid w:val="00842DF3"/>
    <w:rsid w:val="0085308F"/>
    <w:rsid w:val="00887A0E"/>
    <w:rsid w:val="00896D0A"/>
    <w:rsid w:val="008D1425"/>
    <w:rsid w:val="008D7964"/>
    <w:rsid w:val="008E5052"/>
    <w:rsid w:val="008E600D"/>
    <w:rsid w:val="00902A6E"/>
    <w:rsid w:val="009366FD"/>
    <w:rsid w:val="0097693A"/>
    <w:rsid w:val="009B6690"/>
    <w:rsid w:val="009C2412"/>
    <w:rsid w:val="009C5EC7"/>
    <w:rsid w:val="009F2B43"/>
    <w:rsid w:val="00A12FA8"/>
    <w:rsid w:val="00A137A3"/>
    <w:rsid w:val="00A311B2"/>
    <w:rsid w:val="00A31AC7"/>
    <w:rsid w:val="00AB1EB8"/>
    <w:rsid w:val="00AD44A4"/>
    <w:rsid w:val="00B13ADE"/>
    <w:rsid w:val="00B33282"/>
    <w:rsid w:val="00B379D2"/>
    <w:rsid w:val="00B73409"/>
    <w:rsid w:val="00BC6289"/>
    <w:rsid w:val="00BF23F0"/>
    <w:rsid w:val="00C3011E"/>
    <w:rsid w:val="00C44D5E"/>
    <w:rsid w:val="00C715C2"/>
    <w:rsid w:val="00C77060"/>
    <w:rsid w:val="00CD1045"/>
    <w:rsid w:val="00CD3CEC"/>
    <w:rsid w:val="00CF2109"/>
    <w:rsid w:val="00D71E33"/>
    <w:rsid w:val="00DA115E"/>
    <w:rsid w:val="00DB50DC"/>
    <w:rsid w:val="00DC02FB"/>
    <w:rsid w:val="00DD2B4E"/>
    <w:rsid w:val="00DE094B"/>
    <w:rsid w:val="00DE6B5D"/>
    <w:rsid w:val="00DF7ABE"/>
    <w:rsid w:val="00E078C9"/>
    <w:rsid w:val="00E4175A"/>
    <w:rsid w:val="00EA7177"/>
    <w:rsid w:val="00EC668D"/>
    <w:rsid w:val="00F03CCC"/>
    <w:rsid w:val="00F10E42"/>
    <w:rsid w:val="00F21C5D"/>
    <w:rsid w:val="00F420DF"/>
    <w:rsid w:val="00F425A6"/>
    <w:rsid w:val="00F442EA"/>
    <w:rsid w:val="00F63B79"/>
    <w:rsid w:val="00F973BE"/>
    <w:rsid w:val="00FC6FEA"/>
    <w:rsid w:val="00FD4336"/>
    <w:rsid w:val="00FF0B72"/>
    <w:rsid w:val="00FF42D9"/>
    <w:rsid w:val="00FF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4A43870"/>
  <w15:chartTrackingRefBased/>
  <w15:docId w15:val="{069F551B-7C15-4C3E-AB0C-A2BEF06F7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142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F6C17"/>
    <w:pPr>
      <w:tabs>
        <w:tab w:val="center" w:pos="4153"/>
        <w:tab w:val="right" w:pos="8306"/>
      </w:tabs>
      <w:jc w:val="both"/>
    </w:pPr>
    <w:rPr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FF6C17"/>
    <w:rPr>
      <w:rFonts w:ascii="Arial" w:eastAsia="Times New Roman" w:hAnsi="Arial" w:cs="Times New Roman"/>
      <w:szCs w:val="20"/>
    </w:rPr>
  </w:style>
  <w:style w:type="paragraph" w:customStyle="1" w:styleId="FormFieldHeader">
    <w:name w:val="Form Field Header"/>
    <w:basedOn w:val="Normal"/>
    <w:rsid w:val="00FF6C17"/>
    <w:pPr>
      <w:widowControl w:val="0"/>
      <w:tabs>
        <w:tab w:val="left" w:pos="2268"/>
      </w:tabs>
      <w:spacing w:before="60" w:after="60"/>
    </w:pPr>
    <w:rPr>
      <w:b/>
    </w:rPr>
  </w:style>
  <w:style w:type="paragraph" w:styleId="Header">
    <w:name w:val="header"/>
    <w:basedOn w:val="Normal"/>
    <w:link w:val="HeaderChar"/>
    <w:uiPriority w:val="99"/>
    <w:rsid w:val="00FF6C17"/>
    <w:pPr>
      <w:tabs>
        <w:tab w:val="center" w:pos="4320"/>
        <w:tab w:val="right" w:pos="8640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FF6C17"/>
    <w:rPr>
      <w:rFonts w:ascii="Arial" w:eastAsia="Times New Roman" w:hAnsi="Arial" w:cs="Times New Roman"/>
      <w:sz w:val="20"/>
      <w:szCs w:val="20"/>
      <w:lang w:val="en-US"/>
    </w:rPr>
  </w:style>
  <w:style w:type="paragraph" w:styleId="Title">
    <w:name w:val="Title"/>
    <w:basedOn w:val="Normal"/>
    <w:next w:val="Normal"/>
    <w:link w:val="TitleChar"/>
    <w:qFormat/>
    <w:rsid w:val="00FF6C17"/>
    <w:pPr>
      <w:spacing w:before="120"/>
      <w:jc w:val="center"/>
    </w:pPr>
    <w:rPr>
      <w:rFonts w:eastAsiaTheme="majorEastAsia" w:cstheme="majorBidi"/>
      <w:b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rsid w:val="00FF6C17"/>
    <w:rPr>
      <w:rFonts w:ascii="Arial" w:eastAsiaTheme="majorEastAsia" w:hAnsi="Arial" w:cstheme="majorBidi"/>
      <w:b/>
      <w:spacing w:val="-10"/>
      <w:kern w:val="28"/>
      <w:sz w:val="40"/>
      <w:szCs w:val="56"/>
    </w:rPr>
  </w:style>
  <w:style w:type="paragraph" w:customStyle="1" w:styleId="Bullet">
    <w:name w:val="Bullet"/>
    <w:basedOn w:val="ListParagraph"/>
    <w:qFormat/>
    <w:rsid w:val="00B33282"/>
    <w:pPr>
      <w:numPr>
        <w:numId w:val="1"/>
      </w:numPr>
      <w:spacing w:after="60"/>
      <w:contextualSpacing w:val="0"/>
    </w:pPr>
    <w:rPr>
      <w:rFonts w:cs="Arial"/>
    </w:rPr>
  </w:style>
  <w:style w:type="paragraph" w:styleId="Subtitle">
    <w:name w:val="Subtitle"/>
    <w:basedOn w:val="Normal"/>
    <w:next w:val="Normal"/>
    <w:link w:val="SubtitleChar"/>
    <w:uiPriority w:val="11"/>
    <w:qFormat/>
    <w:rsid w:val="00FF6C17"/>
    <w:pPr>
      <w:numPr>
        <w:ilvl w:val="1"/>
      </w:numPr>
      <w:spacing w:before="60" w:after="60"/>
    </w:pPr>
    <w:rPr>
      <w:rFonts w:ascii="Arial Bold" w:eastAsiaTheme="minorEastAsia" w:hAnsi="Arial Bold" w:cstheme="minorBidi"/>
      <w:b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F6C17"/>
    <w:rPr>
      <w:rFonts w:ascii="Arial Bold" w:eastAsiaTheme="minorEastAsia" w:hAnsi="Arial Bold"/>
      <w:b/>
      <w:sz w:val="20"/>
    </w:rPr>
  </w:style>
  <w:style w:type="paragraph" w:styleId="ListParagraph">
    <w:name w:val="List Paragraph"/>
    <w:basedOn w:val="Normal"/>
    <w:uiPriority w:val="34"/>
    <w:qFormat/>
    <w:rsid w:val="00FF6C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50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052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21C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1C5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1C5D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1C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1C5D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1023</Words>
  <Characters>5833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mneedham@relationshipmatters.com.au</dc:creator>
  <cp:keywords/>
  <dc:description/>
  <cp:lastModifiedBy>Matt Needham</cp:lastModifiedBy>
  <cp:revision>3</cp:revision>
  <cp:lastPrinted>2021-03-14T23:45:00Z</cp:lastPrinted>
  <dcterms:created xsi:type="dcterms:W3CDTF">2021-12-05T23:11:00Z</dcterms:created>
  <dcterms:modified xsi:type="dcterms:W3CDTF">2021-12-05T23:25:00Z</dcterms:modified>
</cp:coreProperties>
</file>